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D33A" w14:textId="2617406C" w:rsidR="00CD0D25" w:rsidRPr="00A8263D" w:rsidRDefault="00CD0D25" w:rsidP="002F1F82">
      <w:pPr>
        <w:pStyle w:val="Titolo"/>
        <w:spacing w:before="0"/>
        <w:rPr>
          <w:rFonts w:ascii="Arial Nova Light" w:hAnsi="Arial Nova Light"/>
          <w:color w:val="2F5496" w:themeColor="accent1" w:themeShade="BF"/>
          <w:sz w:val="22"/>
          <w:szCs w:val="22"/>
        </w:rPr>
      </w:pPr>
      <w:r w:rsidRPr="00A8263D">
        <w:rPr>
          <w:rFonts w:ascii="Arial Nova Light" w:hAnsi="Arial Nova Light"/>
          <w:color w:val="2F5496" w:themeColor="accent1" w:themeShade="BF"/>
          <w:sz w:val="22"/>
          <w:szCs w:val="22"/>
        </w:rPr>
        <w:t xml:space="preserve">PILLOLE DI FUTURO – </w:t>
      </w:r>
      <w:r w:rsidR="00793516" w:rsidRPr="00A8263D">
        <w:rPr>
          <w:rFonts w:ascii="Arial Nova Light" w:hAnsi="Arial Nova Light"/>
          <w:color w:val="2F5496" w:themeColor="accent1" w:themeShade="BF"/>
          <w:sz w:val="22"/>
          <w:szCs w:val="22"/>
        </w:rPr>
        <w:t>9</w:t>
      </w:r>
    </w:p>
    <w:p w14:paraId="20485D98" w14:textId="1C088CCF" w:rsidR="00CD0D25" w:rsidRPr="00A8263D" w:rsidRDefault="00CD0D25" w:rsidP="002F1F82">
      <w:pPr>
        <w:spacing w:after="0"/>
        <w:jc w:val="both"/>
        <w:rPr>
          <w:rFonts w:ascii="Arial Nova Light" w:hAnsi="Arial Nova Light"/>
        </w:rPr>
      </w:pPr>
    </w:p>
    <w:p w14:paraId="43E3295E" w14:textId="5AA50C20" w:rsidR="00C621A4" w:rsidRPr="00A8263D" w:rsidRDefault="00C621A4" w:rsidP="003E428F">
      <w:pPr>
        <w:widowControl w:val="0"/>
        <w:tabs>
          <w:tab w:val="left" w:pos="2245"/>
        </w:tabs>
        <w:autoSpaceDE w:val="0"/>
        <w:autoSpaceDN w:val="0"/>
        <w:spacing w:after="0" w:line="240" w:lineRule="auto"/>
        <w:ind w:right="1418"/>
        <w:jc w:val="both"/>
        <w:rPr>
          <w:rFonts w:ascii="Arial Nova Light" w:hAnsi="Arial Nova Light"/>
        </w:rPr>
      </w:pPr>
    </w:p>
    <w:p w14:paraId="1AAE70BD" w14:textId="08CF1F84" w:rsidR="00A250B3" w:rsidRPr="00A8263D" w:rsidRDefault="00837F25" w:rsidP="00A250B3">
      <w:pPr>
        <w:ind w:right="-1"/>
        <w:jc w:val="both"/>
        <w:rPr>
          <w:rFonts w:ascii="Arial Nova Light" w:hAnsi="Arial Nova Light" w:cs="Arial"/>
          <w:b/>
          <w:bCs/>
          <w:color w:val="C00000"/>
          <w:lang w:eastAsia="it-IT"/>
          <w14:ligatures w14:val="none"/>
        </w:rPr>
      </w:pPr>
      <w:r>
        <w:rPr>
          <w:rFonts w:ascii="Arial Nova Light" w:hAnsi="Arial Nova Light" w:cs="Arial"/>
          <w:b/>
          <w:bCs/>
          <w:noProof/>
          <w:color w:val="2F5496"/>
          <w:lang w:eastAsia="it-IT"/>
        </w:rPr>
        <w:drawing>
          <wp:anchor distT="0" distB="0" distL="114300" distR="114300" simplePos="0" relativeHeight="251662336" behindDoc="0" locked="0" layoutInCell="1" allowOverlap="1" wp14:anchorId="16BA731C" wp14:editId="5FF8A655">
            <wp:simplePos x="0" y="0"/>
            <wp:positionH relativeFrom="column">
              <wp:posOffset>-55880</wp:posOffset>
            </wp:positionH>
            <wp:positionV relativeFrom="paragraph">
              <wp:posOffset>43815</wp:posOffset>
            </wp:positionV>
            <wp:extent cx="2327910" cy="1310005"/>
            <wp:effectExtent l="0" t="0" r="0" b="4445"/>
            <wp:wrapSquare wrapText="bothSides"/>
            <wp:docPr id="71539226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92268" name="Immagine 71539226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7910" cy="1310005"/>
                    </a:xfrm>
                    <a:prstGeom prst="rect">
                      <a:avLst/>
                    </a:prstGeom>
                  </pic:spPr>
                </pic:pic>
              </a:graphicData>
            </a:graphic>
            <wp14:sizeRelH relativeFrom="margin">
              <wp14:pctWidth>0</wp14:pctWidth>
            </wp14:sizeRelH>
            <wp14:sizeRelV relativeFrom="margin">
              <wp14:pctHeight>0</wp14:pctHeight>
            </wp14:sizeRelV>
          </wp:anchor>
        </w:drawing>
      </w:r>
      <w:r>
        <w:rPr>
          <w:rFonts w:ascii="Arial Nova Light" w:hAnsi="Arial Nova Light" w:cs="Arial"/>
          <w:b/>
          <w:bCs/>
          <w:color w:val="C00000"/>
          <w:lang w:eastAsia="it-IT"/>
          <w14:ligatures w14:val="none"/>
        </w:rPr>
        <w:t xml:space="preserve">MA </w:t>
      </w:r>
      <w:r w:rsidR="00A250B3" w:rsidRPr="00A8263D">
        <w:rPr>
          <w:rFonts w:ascii="Arial Nova Light" w:hAnsi="Arial Nova Light" w:cs="Arial"/>
          <w:b/>
          <w:bCs/>
          <w:color w:val="C00000"/>
          <w:lang w:eastAsia="it-IT"/>
          <w14:ligatures w14:val="none"/>
        </w:rPr>
        <w:t>DOVE È FINITA LA RESPONSABILITA’ LIMITATA DELLE SOCIETÀ?</w:t>
      </w:r>
    </w:p>
    <w:p w14:paraId="5D4C39D3" w14:textId="2736B962" w:rsidR="00A250B3" w:rsidRPr="00A8263D" w:rsidRDefault="00A250B3" w:rsidP="00A250B3">
      <w:pPr>
        <w:ind w:right="-1"/>
        <w:jc w:val="both"/>
        <w:rPr>
          <w:rFonts w:ascii="Arial Nova Light" w:hAnsi="Arial Nova Light" w:cs="Arial"/>
          <w:b/>
          <w:bCs/>
          <w:color w:val="2F5496"/>
          <w:lang w:eastAsia="it-IT"/>
          <w14:ligatures w14:val="none"/>
        </w:rPr>
      </w:pPr>
      <w:r w:rsidRPr="00A8263D">
        <w:rPr>
          <w:rFonts w:ascii="Arial Nova Light" w:hAnsi="Arial Nova Light" w:cs="Arial"/>
          <w:b/>
          <w:bCs/>
          <w:color w:val="2F5496"/>
          <w:lang w:eastAsia="it-IT"/>
          <w14:ligatures w14:val="none"/>
        </w:rPr>
        <w:t xml:space="preserve">Le modifiche alla Legge Fallimentare </w:t>
      </w:r>
    </w:p>
    <w:p w14:paraId="505329F8" w14:textId="2D4B9982" w:rsidR="00A250B3" w:rsidRPr="00A8263D" w:rsidRDefault="00A250B3" w:rsidP="00A250B3">
      <w:pPr>
        <w:ind w:right="-1"/>
        <w:jc w:val="both"/>
        <w:rPr>
          <w:rFonts w:ascii="Arial Nova Light" w:hAnsi="Arial Nova Light" w:cs="Arial"/>
          <w:color w:val="2D2D2D"/>
          <w:lang w:eastAsia="it-IT"/>
          <w14:ligatures w14:val="none"/>
        </w:rPr>
      </w:pPr>
      <w:r w:rsidRPr="00A8263D">
        <w:rPr>
          <w:rFonts w:ascii="Arial Nova Light" w:hAnsi="Arial Nova Light" w:cs="Arial"/>
          <w:color w:val="2D2D2D"/>
          <w:lang w:eastAsia="it-IT"/>
          <w14:ligatures w14:val="none"/>
        </w:rPr>
        <w:t xml:space="preserve">La riforma della </w:t>
      </w:r>
      <w:r w:rsidRPr="00A8263D">
        <w:rPr>
          <w:rFonts w:ascii="Arial Nova Light" w:hAnsi="Arial Nova Light" w:cs="Arial"/>
          <w:color w:val="2D2D2D"/>
          <w:lang w:eastAsia="it-IT"/>
          <w14:ligatures w14:val="none"/>
        </w:rPr>
        <w:t>vecchia L</w:t>
      </w:r>
      <w:r w:rsidRPr="00A8263D">
        <w:rPr>
          <w:rFonts w:ascii="Arial Nova Light" w:hAnsi="Arial Nova Light" w:cs="Arial"/>
          <w:color w:val="2D2D2D"/>
          <w:lang w:eastAsia="it-IT"/>
          <w14:ligatures w14:val="none"/>
        </w:rPr>
        <w:t xml:space="preserve">egge </w:t>
      </w:r>
      <w:r w:rsidRPr="00A8263D">
        <w:rPr>
          <w:rFonts w:ascii="Arial Nova Light" w:hAnsi="Arial Nova Light" w:cs="Arial"/>
          <w:color w:val="2D2D2D"/>
          <w:lang w:eastAsia="it-IT"/>
          <w14:ligatures w14:val="none"/>
        </w:rPr>
        <w:t>F</w:t>
      </w:r>
      <w:r w:rsidRPr="00A8263D">
        <w:rPr>
          <w:rFonts w:ascii="Arial Nova Light" w:hAnsi="Arial Nova Light" w:cs="Arial"/>
          <w:color w:val="2D2D2D"/>
          <w:lang w:eastAsia="it-IT"/>
          <w14:ligatures w14:val="none"/>
        </w:rPr>
        <w:t xml:space="preserve">allimentare attraverso l’emanazione del Codice della Crisi </w:t>
      </w:r>
      <w:r w:rsidRPr="00A8263D">
        <w:rPr>
          <w:rFonts w:ascii="Arial Nova Light" w:hAnsi="Arial Nova Light" w:cs="Arial"/>
          <w:color w:val="2D2D2D"/>
          <w:lang w:eastAsia="it-IT"/>
          <w14:ligatures w14:val="none"/>
        </w:rPr>
        <w:t xml:space="preserve">e dell’Insolvenza </w:t>
      </w:r>
      <w:r w:rsidRPr="00A8263D">
        <w:rPr>
          <w:rFonts w:ascii="Arial Nova Light" w:hAnsi="Arial Nova Light" w:cs="Arial"/>
          <w:color w:val="2D2D2D"/>
          <w:lang w:eastAsia="it-IT"/>
          <w14:ligatures w14:val="none"/>
        </w:rPr>
        <w:t xml:space="preserve">ha introdotto importanti modifiche al codice civile che nelle società a base familiare possono in alcuni casi comportare il </w:t>
      </w:r>
      <w:r w:rsidRPr="00A8263D">
        <w:rPr>
          <w:rFonts w:ascii="Arial Nova Light" w:hAnsi="Arial Nova Light" w:cs="Arial"/>
          <w:b/>
          <w:bCs/>
          <w:color w:val="2D2D2D"/>
          <w:lang w:eastAsia="it-IT"/>
          <w14:ligatures w14:val="none"/>
        </w:rPr>
        <w:t>venir meno della responsabilità limitata</w:t>
      </w:r>
      <w:r w:rsidRPr="00A8263D">
        <w:rPr>
          <w:rFonts w:ascii="Arial Nova Light" w:hAnsi="Arial Nova Light" w:cs="Arial"/>
          <w:color w:val="2D2D2D"/>
          <w:lang w:eastAsia="it-IT"/>
          <w14:ligatures w14:val="none"/>
        </w:rPr>
        <w:t xml:space="preserve"> in capo ai soci operativi e pesanti responsabilità personali in capo agli amministratori.</w:t>
      </w:r>
    </w:p>
    <w:p w14:paraId="77CDD9F0" w14:textId="7EFC0544" w:rsidR="00A250B3" w:rsidRPr="00A8263D" w:rsidRDefault="00A250B3" w:rsidP="00A250B3">
      <w:pPr>
        <w:ind w:right="-1"/>
        <w:jc w:val="both"/>
        <w:rPr>
          <w:rFonts w:ascii="Arial Nova Light" w:hAnsi="Arial Nova Light" w:cs="Arial"/>
          <w:color w:val="2D2D2D"/>
          <w:lang w:eastAsia="it-IT"/>
          <w14:ligatures w14:val="none"/>
        </w:rPr>
      </w:pPr>
      <w:r w:rsidRPr="00A8263D">
        <w:rPr>
          <w:rFonts w:ascii="Arial Nova Light" w:hAnsi="Arial Nova Light" w:cs="Arial"/>
          <w:color w:val="2D2D2D"/>
          <w:lang w:eastAsia="it-IT"/>
          <w14:ligatures w14:val="none"/>
        </w:rPr>
        <w:t xml:space="preserve">Il nuovo </w:t>
      </w:r>
      <w:r w:rsidRPr="00A8263D">
        <w:rPr>
          <w:rFonts w:ascii="Arial Nova Light" w:hAnsi="Arial Nova Light" w:cs="Arial"/>
          <w:color w:val="2D2D2D"/>
          <w:lang w:eastAsia="it-IT"/>
          <w14:ligatures w14:val="none"/>
        </w:rPr>
        <w:t xml:space="preserve">articolo 2086 </w:t>
      </w:r>
      <w:r w:rsidRPr="00A8263D">
        <w:rPr>
          <w:rFonts w:ascii="Arial Nova Light" w:hAnsi="Arial Nova Light" w:cs="Arial"/>
          <w:color w:val="2D2D2D"/>
          <w:lang w:eastAsia="it-IT"/>
          <w14:ligatures w14:val="none"/>
        </w:rPr>
        <w:t>del Codice Civile i</w:t>
      </w:r>
      <w:r w:rsidRPr="00A8263D">
        <w:rPr>
          <w:rFonts w:ascii="Arial Nova Light" w:hAnsi="Arial Nova Light" w:cs="Arial"/>
          <w:color w:val="2D2D2D"/>
          <w:lang w:eastAsia="it-IT"/>
          <w14:ligatures w14:val="none"/>
        </w:rPr>
        <w:t>nfatti, dispone ora in capo all’imprenditore l’obbligo di istituire</w:t>
      </w:r>
    </w:p>
    <w:p w14:paraId="32C29A4C" w14:textId="29D4F0A8" w:rsidR="00A250B3" w:rsidRPr="00A8263D" w:rsidRDefault="00A250B3" w:rsidP="00A250B3">
      <w:pPr>
        <w:ind w:right="-1"/>
        <w:jc w:val="both"/>
        <w:rPr>
          <w:rFonts w:ascii="Arial Nova Light" w:hAnsi="Arial Nova Light" w:cs="Arial"/>
          <w:color w:val="2D2D2D"/>
          <w:lang w:eastAsia="it-IT"/>
          <w14:ligatures w14:val="none"/>
        </w:rPr>
      </w:pPr>
      <w:r w:rsidRPr="00A8263D">
        <w:rPr>
          <w:rFonts w:ascii="Arial Nova Light" w:hAnsi="Arial Nova Light" w:cs="Arial"/>
          <w:color w:val="2D2D2D"/>
          <w:u w:val="single"/>
          <w:lang w:eastAsia="it-IT"/>
          <w14:ligatures w14:val="none"/>
        </w:rPr>
        <w:t xml:space="preserve">un </w:t>
      </w:r>
      <w:r w:rsidRPr="00A8263D">
        <w:rPr>
          <w:rFonts w:ascii="Arial Nova Light" w:hAnsi="Arial Nova Light" w:cs="Arial"/>
          <w:b/>
          <w:bCs/>
          <w:color w:val="2D2D2D"/>
          <w:u w:val="single"/>
          <w:lang w:eastAsia="it-IT"/>
          <w14:ligatures w14:val="none"/>
        </w:rPr>
        <w:t>assetto organizzativo, amministrativo e contabile adeguato</w:t>
      </w:r>
      <w:r w:rsidRPr="00A8263D">
        <w:rPr>
          <w:rFonts w:ascii="Arial Nova Light" w:hAnsi="Arial Nova Light" w:cs="Arial"/>
          <w:color w:val="2D2D2D"/>
          <w:u w:val="single"/>
          <w:lang w:eastAsia="it-IT"/>
          <w14:ligatures w14:val="none"/>
        </w:rPr>
        <w:t xml:space="preserve"> alla natura e alle dimensioni dell'impresa, anche </w:t>
      </w:r>
      <w:r w:rsidRPr="00A8263D">
        <w:rPr>
          <w:rFonts w:ascii="Arial Nova Light" w:hAnsi="Arial Nova Light" w:cs="Arial"/>
          <w:b/>
          <w:bCs/>
          <w:color w:val="2D2D2D"/>
          <w:u w:val="single"/>
          <w:lang w:eastAsia="it-IT"/>
          <w14:ligatures w14:val="none"/>
        </w:rPr>
        <w:t>in funzione della rilevazione tempestiva della crisi dell'impresa</w:t>
      </w:r>
      <w:r w:rsidRPr="00A8263D">
        <w:rPr>
          <w:rFonts w:ascii="Arial Nova Light" w:hAnsi="Arial Nova Light" w:cs="Arial"/>
          <w:color w:val="2D2D2D"/>
          <w:u w:val="single"/>
          <w:lang w:eastAsia="it-IT"/>
          <w14:ligatures w14:val="none"/>
        </w:rPr>
        <w:t xml:space="preserve"> e della perdita della continuità aziendale</w:t>
      </w:r>
      <w:r w:rsidRPr="00A8263D">
        <w:rPr>
          <w:rFonts w:ascii="Arial Nova Light" w:hAnsi="Arial Nova Light" w:cs="Arial"/>
          <w:color w:val="2D2D2D"/>
          <w:lang w:eastAsia="it-IT"/>
          <w14:ligatures w14:val="none"/>
        </w:rPr>
        <w:t>.</w:t>
      </w:r>
    </w:p>
    <w:p w14:paraId="6EA631EB" w14:textId="77777777" w:rsidR="00A250B3" w:rsidRPr="00A8263D" w:rsidRDefault="00A250B3" w:rsidP="00A250B3">
      <w:pPr>
        <w:ind w:right="-1"/>
        <w:jc w:val="both"/>
        <w:rPr>
          <w:rFonts w:ascii="Arial Nova Light" w:hAnsi="Arial Nova Light" w:cs="Arial"/>
          <w:color w:val="2D2D2D"/>
          <w:lang w:eastAsia="it-IT"/>
          <w14:ligatures w14:val="none"/>
        </w:rPr>
      </w:pPr>
    </w:p>
    <w:p w14:paraId="78D5FC2E" w14:textId="79E3FD73" w:rsidR="00A250B3" w:rsidRPr="00A8263D" w:rsidRDefault="00A250B3" w:rsidP="00A250B3">
      <w:pPr>
        <w:ind w:right="-1"/>
        <w:jc w:val="both"/>
        <w:rPr>
          <w:rFonts w:ascii="Arial Nova Light" w:hAnsi="Arial Nova Light" w:cs="Arial"/>
          <w:b/>
          <w:bCs/>
          <w:color w:val="2F5496"/>
          <w:lang w:eastAsia="it-IT"/>
          <w14:ligatures w14:val="none"/>
        </w:rPr>
      </w:pPr>
      <w:r w:rsidRPr="00A8263D">
        <w:rPr>
          <w:rFonts w:ascii="Arial Nova Light" w:hAnsi="Arial Nova Light" w:cs="Arial"/>
          <w:b/>
          <w:bCs/>
          <w:color w:val="2F5496"/>
          <w:lang w:eastAsia="it-IT"/>
          <w14:ligatures w14:val="none"/>
        </w:rPr>
        <w:t>Cosa significa Adeguat</w:t>
      </w:r>
      <w:r w:rsidRPr="00A8263D">
        <w:rPr>
          <w:rFonts w:ascii="Arial Nova Light" w:hAnsi="Arial Nova Light" w:cs="Arial"/>
          <w:b/>
          <w:bCs/>
          <w:color w:val="2F5496"/>
          <w:lang w:eastAsia="it-IT"/>
          <w14:ligatures w14:val="none"/>
        </w:rPr>
        <w:t>o</w:t>
      </w:r>
      <w:r w:rsidRPr="00A8263D">
        <w:rPr>
          <w:rFonts w:ascii="Arial Nova Light" w:hAnsi="Arial Nova Light" w:cs="Arial"/>
          <w:b/>
          <w:bCs/>
          <w:color w:val="2F5496"/>
          <w:lang w:eastAsia="it-IT"/>
          <w14:ligatures w14:val="none"/>
        </w:rPr>
        <w:t xml:space="preserve"> Assett</w:t>
      </w:r>
      <w:r w:rsidRPr="00A8263D">
        <w:rPr>
          <w:rFonts w:ascii="Arial Nova Light" w:hAnsi="Arial Nova Light" w:cs="Arial"/>
          <w:b/>
          <w:bCs/>
          <w:color w:val="2F5496"/>
          <w:lang w:eastAsia="it-IT"/>
          <w14:ligatures w14:val="none"/>
        </w:rPr>
        <w:t>o</w:t>
      </w:r>
      <w:r w:rsidRPr="00A8263D">
        <w:rPr>
          <w:rFonts w:ascii="Arial Nova Light" w:hAnsi="Arial Nova Light" w:cs="Arial"/>
          <w:b/>
          <w:bCs/>
          <w:color w:val="2F5496"/>
          <w:lang w:eastAsia="it-IT"/>
          <w14:ligatures w14:val="none"/>
        </w:rPr>
        <w:t>?</w:t>
      </w:r>
    </w:p>
    <w:p w14:paraId="44385BA2" w14:textId="3A7F1240" w:rsidR="00A250B3" w:rsidRPr="00A8263D" w:rsidRDefault="00A250B3" w:rsidP="00A250B3">
      <w:pPr>
        <w:shd w:val="clear" w:color="auto" w:fill="FFFFFF"/>
        <w:ind w:right="-1"/>
        <w:jc w:val="both"/>
        <w:rPr>
          <w:rFonts w:ascii="Arial Nova Light" w:hAnsi="Arial Nova Light" w:cs="Arial"/>
          <w:color w:val="333333"/>
          <w:lang w:eastAsia="it-IT"/>
          <w14:ligatures w14:val="none"/>
        </w:rPr>
      </w:pPr>
      <w:r w:rsidRPr="00A8263D">
        <w:rPr>
          <w:rFonts w:ascii="Arial Nova Light" w:hAnsi="Arial Nova Light" w:cs="Arial"/>
          <w:color w:val="333333"/>
          <w:lang w:eastAsia="it-IT"/>
          <w14:ligatures w14:val="none"/>
        </w:rPr>
        <w:t>La norma si rivolge a tutti gli imprenditori, dalla ditta individuale alle società di capitali</w:t>
      </w:r>
      <w:r w:rsidRPr="00A8263D">
        <w:rPr>
          <w:rFonts w:ascii="Arial Nova Light" w:hAnsi="Arial Nova Light" w:cs="Arial"/>
          <w:color w:val="333333"/>
          <w:lang w:eastAsia="it-IT"/>
          <w14:ligatures w14:val="none"/>
        </w:rPr>
        <w:t>,</w:t>
      </w:r>
      <w:r w:rsidRPr="00A8263D">
        <w:rPr>
          <w:rFonts w:ascii="Arial Nova Light" w:hAnsi="Arial Nova Light" w:cs="Arial"/>
          <w:color w:val="333333"/>
          <w:lang w:eastAsia="it-IT"/>
          <w14:ligatures w14:val="none"/>
        </w:rPr>
        <w:t xml:space="preserve"> in base alla natura e dimensione dell’impresa. L’assetto risulta adeguato quando permette la tempestiva rilevazione della </w:t>
      </w:r>
      <w:r w:rsidRPr="00A8263D">
        <w:rPr>
          <w:rFonts w:ascii="Arial Nova Light" w:hAnsi="Arial Nova Light" w:cs="Arial"/>
          <w:b/>
          <w:bCs/>
          <w:color w:val="333333"/>
          <w:u w:val="single"/>
          <w:lang w:eastAsia="it-IT"/>
          <w14:ligatures w14:val="none"/>
        </w:rPr>
        <w:t>possibile</w:t>
      </w:r>
      <w:r w:rsidRPr="00A8263D">
        <w:rPr>
          <w:rFonts w:ascii="Arial Nova Light" w:hAnsi="Arial Nova Light" w:cs="Arial"/>
          <w:color w:val="333333"/>
          <w:u w:val="single"/>
          <w:lang w:eastAsia="it-IT"/>
          <w14:ligatures w14:val="none"/>
        </w:rPr>
        <w:t xml:space="preserve"> </w:t>
      </w:r>
      <w:r w:rsidRPr="00A8263D">
        <w:rPr>
          <w:rFonts w:ascii="Arial Nova Light" w:hAnsi="Arial Nova Light" w:cs="Arial"/>
          <w:b/>
          <w:bCs/>
          <w:color w:val="333333"/>
          <w:u w:val="single"/>
          <w:lang w:eastAsia="it-IT"/>
          <w14:ligatures w14:val="none"/>
        </w:rPr>
        <w:t>insorgenza di uno stato di crisi</w:t>
      </w:r>
      <w:r w:rsidRPr="00A8263D">
        <w:rPr>
          <w:rFonts w:ascii="Arial Nova Light" w:hAnsi="Arial Nova Light" w:cs="Arial"/>
          <w:color w:val="333333"/>
          <w:lang w:eastAsia="it-IT"/>
          <w14:ligatures w14:val="none"/>
        </w:rPr>
        <w:t>, nonché l’attuazione di misure volte al suo superamento.</w:t>
      </w:r>
    </w:p>
    <w:p w14:paraId="6F7A5C26" w14:textId="77777777" w:rsidR="00A250B3" w:rsidRPr="00A8263D" w:rsidRDefault="00A250B3" w:rsidP="00A250B3">
      <w:pPr>
        <w:shd w:val="clear" w:color="auto" w:fill="FFFFFF"/>
        <w:ind w:right="-1"/>
        <w:jc w:val="both"/>
        <w:rPr>
          <w:rFonts w:ascii="Arial Nova Light" w:hAnsi="Arial Nova Light" w:cs="Arial"/>
          <w:color w:val="333333"/>
          <w:lang w:eastAsia="it-IT"/>
          <w14:ligatures w14:val="none"/>
        </w:rPr>
      </w:pPr>
      <w:r w:rsidRPr="00A8263D">
        <w:rPr>
          <w:rFonts w:ascii="Arial Nova Light" w:hAnsi="Arial Nova Light" w:cs="Arial"/>
          <w:color w:val="333333"/>
          <w:lang w:eastAsia="it-IT"/>
          <w14:ligatures w14:val="none"/>
        </w:rPr>
        <w:t xml:space="preserve">Non è previsto un modello obbligatorio e specifico per la predisposizione di un assetto adeguato, lasciando libero arbitrio alla valutazione discrezionale da parte degli amministratori. </w:t>
      </w:r>
    </w:p>
    <w:p w14:paraId="0BFD5D87" w14:textId="37EBE343" w:rsidR="00A250B3" w:rsidRPr="00A8263D" w:rsidRDefault="00A250B3" w:rsidP="00A250B3">
      <w:pPr>
        <w:shd w:val="clear" w:color="auto" w:fill="FFFFFF"/>
        <w:ind w:right="-1"/>
        <w:jc w:val="both"/>
        <w:rPr>
          <w:rFonts w:ascii="Arial Nova Light" w:hAnsi="Arial Nova Light" w:cs="Arial"/>
          <w:color w:val="333333"/>
          <w:lang w:eastAsia="it-IT"/>
          <w14:ligatures w14:val="none"/>
        </w:rPr>
      </w:pPr>
      <w:r w:rsidRPr="00A8263D">
        <w:rPr>
          <w:rFonts w:ascii="Arial Nova Light" w:hAnsi="Arial Nova Light" w:cs="Arial"/>
          <w:color w:val="333333"/>
          <w:lang w:eastAsia="it-IT"/>
          <w14:ligatures w14:val="none"/>
        </w:rPr>
        <w:t>Vediamo tuttavia di definirlo.</w:t>
      </w:r>
    </w:p>
    <w:p w14:paraId="7B9E1344" w14:textId="77777777" w:rsidR="00A250B3" w:rsidRPr="00A8263D" w:rsidRDefault="00A250B3" w:rsidP="00A250B3">
      <w:pPr>
        <w:shd w:val="clear" w:color="auto" w:fill="FFFFFF"/>
        <w:ind w:right="-1"/>
        <w:jc w:val="both"/>
        <w:rPr>
          <w:rFonts w:ascii="Arial Nova Light" w:hAnsi="Arial Nova Light" w:cs="Arial"/>
          <w:color w:val="333333"/>
          <w:lang w:eastAsia="it-IT"/>
          <w14:ligatures w14:val="none"/>
        </w:rPr>
      </w:pPr>
    </w:p>
    <w:p w14:paraId="56C2F394" w14:textId="7A56028C" w:rsidR="00A250B3" w:rsidRPr="00A8263D" w:rsidRDefault="00A250B3" w:rsidP="00A250B3">
      <w:pPr>
        <w:shd w:val="clear" w:color="auto" w:fill="FFFFFF"/>
        <w:ind w:right="-1"/>
        <w:rPr>
          <w:rFonts w:ascii="Arial Nova Light" w:hAnsi="Arial Nova Light" w:cs="Arial"/>
          <w:color w:val="293340"/>
          <w:lang w:eastAsia="it-IT"/>
          <w14:ligatures w14:val="none"/>
        </w:rPr>
      </w:pPr>
      <w:r w:rsidRPr="00A8263D">
        <w:rPr>
          <w:rFonts w:ascii="Arial Nova Light" w:hAnsi="Arial Nova Light" w:cs="Arial"/>
          <w:b/>
          <w:bCs/>
          <w:color w:val="000000"/>
          <w:lang w:eastAsia="it-IT"/>
          <w14:ligatures w14:val="none"/>
        </w:rPr>
        <w:t>L’</w:t>
      </w:r>
      <w:r w:rsidRPr="00A8263D">
        <w:rPr>
          <w:rFonts w:ascii="Arial Nova Light" w:hAnsi="Arial Nova Light" w:cs="Arial"/>
          <w:b/>
          <w:bCs/>
          <w:color w:val="000000"/>
          <w:lang w:eastAsia="it-IT"/>
          <w14:ligatures w14:val="none"/>
        </w:rPr>
        <w:t xml:space="preserve"> </w:t>
      </w:r>
      <w:r w:rsidRPr="00A8263D">
        <w:rPr>
          <w:rFonts w:ascii="Arial Nova Light" w:hAnsi="Arial Nova Light" w:cs="Arial"/>
          <w:b/>
          <w:bCs/>
          <w:color w:val="000000"/>
          <w:lang w:eastAsia="it-IT"/>
          <w14:ligatures w14:val="none"/>
        </w:rPr>
        <w:t>Assetto Organizzativo</w:t>
      </w:r>
    </w:p>
    <w:p w14:paraId="021A9099" w14:textId="0CCD7703" w:rsidR="00A250B3" w:rsidRPr="00A8263D" w:rsidRDefault="00A250B3" w:rsidP="00A250B3">
      <w:pPr>
        <w:shd w:val="clear" w:color="auto" w:fill="FFFFFF"/>
        <w:ind w:right="-1"/>
        <w:jc w:val="both"/>
        <w:rPr>
          <w:rFonts w:ascii="Arial Nova Light" w:hAnsi="Arial Nova Light" w:cs="Arial"/>
          <w:color w:val="000000"/>
          <w:lang w:eastAsia="it-IT"/>
          <w14:ligatures w14:val="none"/>
        </w:rPr>
      </w:pPr>
      <w:r w:rsidRPr="00A8263D">
        <w:rPr>
          <w:rFonts w:ascii="Arial Nova Light" w:hAnsi="Arial Nova Light" w:cs="Arial"/>
          <w:color w:val="000000"/>
          <w:lang w:eastAsia="it-IT"/>
          <w14:ligatures w14:val="none"/>
        </w:rPr>
        <w:t>L’assetto di un’organizzazione è rappresentato dall’insieme di responsabilità, regole e criteri di controllo che servono per “governare” l’azienda.</w:t>
      </w:r>
      <w:r w:rsidRPr="00A8263D">
        <w:rPr>
          <w:rFonts w:ascii="Arial Nova Light" w:hAnsi="Arial Nova Light" w:cs="Arial"/>
          <w:color w:val="000000"/>
          <w:lang w:eastAsia="it-IT"/>
          <w14:ligatures w14:val="none"/>
        </w:rPr>
        <w:t xml:space="preserve"> </w:t>
      </w:r>
      <w:r w:rsidRPr="00A8263D">
        <w:rPr>
          <w:rFonts w:ascii="Arial Nova Light" w:hAnsi="Arial Nova Light" w:cs="Arial"/>
          <w:color w:val="000000"/>
          <w:lang w:eastAsia="it-IT"/>
          <w14:ligatures w14:val="none"/>
        </w:rPr>
        <w:t xml:space="preserve">Governare l’azienda significa </w:t>
      </w:r>
      <w:r w:rsidRPr="00A8263D">
        <w:rPr>
          <w:rFonts w:ascii="Arial Nova Light" w:hAnsi="Arial Nova Light" w:cs="Arial"/>
          <w:color w:val="000000"/>
          <w:u w:val="single"/>
          <w:lang w:eastAsia="it-IT"/>
          <w14:ligatures w14:val="none"/>
        </w:rPr>
        <w:t>fare in modo che vada nella direzione giusta, nel rispetto degli obiettivi definiti</w:t>
      </w:r>
      <w:r w:rsidRPr="00A8263D">
        <w:rPr>
          <w:rFonts w:ascii="Arial Nova Light" w:hAnsi="Arial Nova Light" w:cs="Arial"/>
          <w:color w:val="000000"/>
          <w:lang w:eastAsia="it-IT"/>
          <w14:ligatures w14:val="none"/>
        </w:rPr>
        <w:t xml:space="preserve"> ottimizzando il più possibile le risorse impegnate. </w:t>
      </w:r>
    </w:p>
    <w:p w14:paraId="74CC75B7" w14:textId="77777777" w:rsidR="00A250B3" w:rsidRPr="00A8263D" w:rsidRDefault="00A250B3" w:rsidP="00A250B3">
      <w:pPr>
        <w:shd w:val="clear" w:color="auto" w:fill="FFFFFF"/>
        <w:ind w:right="-1"/>
        <w:jc w:val="both"/>
        <w:rPr>
          <w:rFonts w:ascii="Arial Nova Light" w:hAnsi="Arial Nova Light" w:cs="Arial"/>
          <w:color w:val="000000"/>
          <w:lang w:eastAsia="it-IT"/>
          <w14:ligatures w14:val="none"/>
        </w:rPr>
      </w:pPr>
      <w:r w:rsidRPr="00A8263D">
        <w:rPr>
          <w:rFonts w:ascii="Arial Nova Light" w:hAnsi="Arial Nova Light" w:cs="Arial"/>
          <w:color w:val="000000"/>
          <w:lang w:eastAsia="it-IT"/>
          <w14:ligatures w14:val="none"/>
        </w:rPr>
        <w:t xml:space="preserve">Da qui potremmo definire come assetto organizzativo adeguato </w:t>
      </w:r>
    </w:p>
    <w:p w14:paraId="68827E71" w14:textId="77777777" w:rsidR="00A250B3" w:rsidRPr="00A8263D" w:rsidRDefault="00A250B3" w:rsidP="00A250B3">
      <w:pPr>
        <w:shd w:val="clear" w:color="auto" w:fill="FFFFFF"/>
        <w:ind w:right="-1"/>
        <w:jc w:val="both"/>
        <w:rPr>
          <w:rFonts w:ascii="Arial Nova Light" w:hAnsi="Arial Nova Light" w:cs="Arial"/>
          <w:i/>
          <w:iCs/>
          <w:color w:val="000000"/>
          <w:lang w:eastAsia="it-IT"/>
          <w14:ligatures w14:val="none"/>
        </w:rPr>
      </w:pPr>
      <w:r w:rsidRPr="00A8263D">
        <w:rPr>
          <w:rFonts w:ascii="Arial Nova Light" w:hAnsi="Arial Nova Light" w:cs="Arial"/>
          <w:i/>
          <w:iCs/>
          <w:color w:val="000000"/>
          <w:lang w:eastAsia="it-IT"/>
          <w14:ligatures w14:val="none"/>
        </w:rPr>
        <w:t>“l’insieme delle regole, responsabilità e controlli finalizzati al raggiungimento degli obiettivi”.</w:t>
      </w:r>
    </w:p>
    <w:p w14:paraId="4DB66306" w14:textId="77777777" w:rsidR="0013444B" w:rsidRPr="00A8263D" w:rsidRDefault="00A250B3" w:rsidP="00A250B3">
      <w:pPr>
        <w:shd w:val="clear" w:color="auto" w:fill="FFFFFF"/>
        <w:ind w:right="-1"/>
        <w:jc w:val="both"/>
        <w:rPr>
          <w:rFonts w:ascii="Arial Nova Light" w:hAnsi="Arial Nova Light" w:cs="Arial"/>
          <w:color w:val="000000"/>
          <w:lang w:eastAsia="it-IT"/>
          <w14:ligatures w14:val="none"/>
        </w:rPr>
      </w:pPr>
      <w:r w:rsidRPr="00A8263D">
        <w:rPr>
          <w:rFonts w:ascii="Arial Nova Light" w:hAnsi="Arial Nova Light" w:cs="Arial"/>
          <w:color w:val="000000"/>
          <w:lang w:eastAsia="it-IT"/>
          <w14:ligatures w14:val="none"/>
        </w:rPr>
        <w:t xml:space="preserve">Il requisito di adeguatezza sarà soddisfatto se l’assetto organizzativo è bilanciato con gli obiettivi e questi sono perseguibili. </w:t>
      </w:r>
    </w:p>
    <w:p w14:paraId="4D2AB8F3" w14:textId="34FFA053" w:rsidR="00A250B3" w:rsidRPr="00A8263D" w:rsidRDefault="00A250B3" w:rsidP="00A250B3">
      <w:pPr>
        <w:shd w:val="clear" w:color="auto" w:fill="FFFFFF"/>
        <w:ind w:right="-1"/>
        <w:jc w:val="both"/>
        <w:rPr>
          <w:rFonts w:ascii="Arial Nova Light" w:hAnsi="Arial Nova Light" w:cs="Arial"/>
          <w:color w:val="000000"/>
          <w:lang w:eastAsia="it-IT"/>
          <w14:ligatures w14:val="none"/>
        </w:rPr>
      </w:pPr>
      <w:r w:rsidRPr="00A8263D">
        <w:rPr>
          <w:rFonts w:ascii="Arial Nova Light" w:hAnsi="Arial Nova Light" w:cs="Arial"/>
          <w:color w:val="000000"/>
          <w:lang w:eastAsia="it-IT"/>
          <w14:ligatures w14:val="none"/>
        </w:rPr>
        <w:t>Definire un adeguato assetto organizzativo significa costruire la “</w:t>
      </w:r>
      <w:r w:rsidRPr="00A8263D">
        <w:rPr>
          <w:rFonts w:ascii="Arial Nova Light" w:hAnsi="Arial Nova Light" w:cs="Arial"/>
          <w:b/>
          <w:bCs/>
          <w:color w:val="000000"/>
          <w:lang w:eastAsia="it-IT"/>
          <w14:ligatures w14:val="none"/>
        </w:rPr>
        <w:t>macchina più adatta al viaggio</w:t>
      </w:r>
      <w:r w:rsidRPr="00A8263D">
        <w:rPr>
          <w:rFonts w:ascii="Arial Nova Light" w:hAnsi="Arial Nova Light" w:cs="Arial"/>
          <w:color w:val="000000"/>
          <w:lang w:eastAsia="it-IT"/>
          <w14:ligatures w14:val="none"/>
        </w:rPr>
        <w:t>” che dobbiamo fare.</w:t>
      </w:r>
    </w:p>
    <w:p w14:paraId="35857028" w14:textId="77777777" w:rsidR="00A250B3" w:rsidRPr="00A8263D" w:rsidRDefault="00A250B3" w:rsidP="00A250B3">
      <w:pPr>
        <w:shd w:val="clear" w:color="auto" w:fill="FFFFFF"/>
        <w:ind w:right="-1"/>
        <w:jc w:val="both"/>
        <w:rPr>
          <w:rFonts w:ascii="Arial Nova Light" w:hAnsi="Arial Nova Light" w:cs="Arial"/>
          <w:color w:val="000000"/>
          <w:lang w:eastAsia="it-IT"/>
          <w14:ligatures w14:val="none"/>
        </w:rPr>
      </w:pPr>
      <w:r w:rsidRPr="00A8263D">
        <w:rPr>
          <w:rFonts w:ascii="Arial Nova Light" w:hAnsi="Arial Nova Light" w:cs="Arial"/>
          <w:color w:val="000000"/>
          <w:lang w:eastAsia="it-IT"/>
          <w14:ligatures w14:val="none"/>
        </w:rPr>
        <w:t>Il primo passo consiste nel definire il “viaggio”, ovvero il perché vogliamo fare quelle cose e perché dobbiamo farle in un certo modo. Una volta chiariti gli obiettivi (chi siamo, cosa vendiamo, perché acquistare da noi) è necessario stabilire come facciamo a farlo, la struttura organizzativa, la “macchina”. Il terzo passo è il controllo, il cruscotto necessario per vedere se la direzione che stiamo seguendo è giusta.</w:t>
      </w:r>
    </w:p>
    <w:p w14:paraId="5B2C7C15" w14:textId="766B2DA4" w:rsidR="00A250B3" w:rsidRPr="00A8263D" w:rsidRDefault="0013444B" w:rsidP="00A250B3">
      <w:pPr>
        <w:shd w:val="clear" w:color="auto" w:fill="FFFFFF"/>
        <w:ind w:right="-1"/>
        <w:jc w:val="both"/>
        <w:rPr>
          <w:rFonts w:ascii="Arial Nova Light" w:hAnsi="Arial Nova Light" w:cs="Arial"/>
          <w:color w:val="000000"/>
          <w:lang w:eastAsia="it-IT"/>
          <w14:ligatures w14:val="none"/>
        </w:rPr>
      </w:pPr>
      <w:r w:rsidRPr="00A8263D">
        <w:rPr>
          <w:rFonts w:ascii="Arial Nova Light" w:hAnsi="Arial Nova Light" w:cs="Arial"/>
          <w:color w:val="000000"/>
          <w:lang w:eastAsia="it-IT"/>
          <w14:ligatures w14:val="none"/>
        </w:rPr>
        <w:lastRenderedPageBreak/>
        <w:t xml:space="preserve">Nelle precedenti Pillole di Futuro abbiamo trattato tutto ciò in un’ottica di crescita, ma la valenza di un simile approccio è anche protettiva perché mette l’imprenditore in una posizione più difendibile in caso di dissesto. </w:t>
      </w:r>
    </w:p>
    <w:p w14:paraId="54A10B64" w14:textId="77777777" w:rsidR="00A250B3" w:rsidRPr="00A8263D" w:rsidRDefault="00A250B3" w:rsidP="00A250B3">
      <w:pPr>
        <w:shd w:val="clear" w:color="auto" w:fill="FFFFFF"/>
        <w:ind w:right="-1"/>
        <w:jc w:val="both"/>
        <w:rPr>
          <w:rFonts w:ascii="Arial Nova Light" w:hAnsi="Arial Nova Light" w:cs="Arial"/>
          <w:b/>
          <w:bCs/>
          <w:color w:val="000000"/>
          <w:lang w:eastAsia="it-IT"/>
          <w14:ligatures w14:val="none"/>
        </w:rPr>
      </w:pPr>
    </w:p>
    <w:p w14:paraId="413EEC65" w14:textId="77777777" w:rsidR="00A250B3" w:rsidRPr="00A8263D" w:rsidRDefault="00A250B3" w:rsidP="00A250B3">
      <w:pPr>
        <w:shd w:val="clear" w:color="auto" w:fill="FFFFFF"/>
        <w:ind w:right="-1"/>
        <w:jc w:val="both"/>
        <w:rPr>
          <w:rFonts w:ascii="Arial Nova Light" w:hAnsi="Arial Nova Light" w:cs="Arial"/>
          <w:b/>
          <w:bCs/>
          <w:color w:val="000000"/>
          <w:lang w:eastAsia="it-IT"/>
          <w14:ligatures w14:val="none"/>
        </w:rPr>
      </w:pPr>
      <w:r w:rsidRPr="00A8263D">
        <w:rPr>
          <w:rFonts w:ascii="Arial Nova Light" w:hAnsi="Arial Nova Light" w:cs="Arial"/>
          <w:b/>
          <w:bCs/>
          <w:color w:val="000000"/>
          <w:lang w:eastAsia="it-IT"/>
          <w14:ligatures w14:val="none"/>
        </w:rPr>
        <w:t>L’Assetto Amministrativo</w:t>
      </w:r>
    </w:p>
    <w:p w14:paraId="25FFBC34" w14:textId="77777777" w:rsidR="00A250B3" w:rsidRPr="00A8263D" w:rsidRDefault="00A250B3" w:rsidP="00A250B3">
      <w:pPr>
        <w:shd w:val="clear" w:color="auto" w:fill="FFFFFF"/>
        <w:ind w:right="-1"/>
        <w:jc w:val="both"/>
        <w:rPr>
          <w:rFonts w:ascii="Arial Nova Light" w:hAnsi="Arial Nova Light" w:cs="Arial"/>
          <w:color w:val="000000"/>
          <w:lang w:eastAsia="it-IT"/>
          <w14:ligatures w14:val="none"/>
        </w:rPr>
      </w:pPr>
      <w:r w:rsidRPr="00A8263D">
        <w:rPr>
          <w:rFonts w:ascii="Arial Nova Light" w:hAnsi="Arial Nova Light" w:cs="Arial"/>
          <w:color w:val="000000"/>
          <w:lang w:eastAsia="it-IT"/>
          <w14:ligatures w14:val="none"/>
        </w:rPr>
        <w:t xml:space="preserve">L’assetto amministrativo e contabile si ritiene adeguato se permette </w:t>
      </w:r>
    </w:p>
    <w:p w14:paraId="67CB1C4C" w14:textId="77777777" w:rsidR="00A250B3" w:rsidRPr="00A8263D" w:rsidRDefault="00A250B3" w:rsidP="00A250B3">
      <w:pPr>
        <w:shd w:val="clear" w:color="auto" w:fill="FFFFFF"/>
        <w:ind w:right="-1"/>
        <w:jc w:val="both"/>
        <w:rPr>
          <w:rFonts w:ascii="Arial Nova Light" w:hAnsi="Arial Nova Light" w:cs="Arial"/>
          <w:color w:val="6D7783"/>
          <w:lang w:eastAsia="it-IT"/>
          <w14:ligatures w14:val="none"/>
        </w:rPr>
      </w:pPr>
      <w:r w:rsidRPr="00A8263D">
        <w:rPr>
          <w:rFonts w:ascii="Arial Nova Light" w:hAnsi="Arial Nova Light" w:cs="Arial"/>
          <w:i/>
          <w:iCs/>
          <w:color w:val="000000"/>
          <w:lang w:eastAsia="it-IT"/>
          <w14:ligatures w14:val="none"/>
        </w:rPr>
        <w:t>“la completa, tempestiva e attendibile rilevazione contabile e rappresentazione dei fatti di gestione, la produzione di informazioni valide e utili per le scelte di gestione e la produzione di dati attendibili per la formazione del bilancio d’esercizio</w:t>
      </w:r>
      <w:r w:rsidRPr="00A8263D">
        <w:rPr>
          <w:rFonts w:ascii="Arial Nova Light" w:hAnsi="Arial Nova Light" w:cs="Arial"/>
          <w:color w:val="000000"/>
          <w:lang w:eastAsia="it-IT"/>
          <w14:ligatures w14:val="none"/>
        </w:rPr>
        <w:t>” (CNDCEC, Febbraio 2018).</w:t>
      </w:r>
    </w:p>
    <w:p w14:paraId="6321E6CF" w14:textId="77777777" w:rsidR="00A250B3" w:rsidRPr="00A8263D" w:rsidRDefault="00A250B3" w:rsidP="00A250B3">
      <w:pPr>
        <w:shd w:val="clear" w:color="auto" w:fill="FFFFFF"/>
        <w:ind w:right="-1"/>
        <w:jc w:val="both"/>
        <w:rPr>
          <w:rFonts w:ascii="Arial Nova Light" w:hAnsi="Arial Nova Light" w:cs="Arial"/>
          <w:color w:val="000000"/>
          <w:lang w:eastAsia="it-IT"/>
          <w14:ligatures w14:val="none"/>
        </w:rPr>
      </w:pPr>
      <w:r w:rsidRPr="00A8263D">
        <w:rPr>
          <w:rFonts w:ascii="Arial Nova Light" w:hAnsi="Arial Nova Light" w:cs="Arial"/>
          <w:color w:val="000000"/>
          <w:lang w:eastAsia="it-IT"/>
          <w14:ligatures w14:val="none"/>
        </w:rPr>
        <w:t xml:space="preserve">Occorre quindi che la contabilità aziendale sia tenuta in modo completo, aggiornato e senza ritardi. </w:t>
      </w:r>
    </w:p>
    <w:p w14:paraId="26A07954" w14:textId="3B44BB9E" w:rsidR="00A250B3" w:rsidRPr="00A8263D" w:rsidRDefault="00A250B3" w:rsidP="00A250B3">
      <w:pPr>
        <w:shd w:val="clear" w:color="auto" w:fill="FFFFFF"/>
        <w:ind w:right="-1"/>
        <w:jc w:val="both"/>
        <w:rPr>
          <w:rFonts w:ascii="Arial Nova Light" w:hAnsi="Arial Nova Light" w:cs="Arial"/>
          <w:color w:val="000000"/>
          <w:lang w:eastAsia="it-IT"/>
          <w14:ligatures w14:val="none"/>
        </w:rPr>
      </w:pPr>
      <w:r w:rsidRPr="00A8263D">
        <w:rPr>
          <w:rFonts w:ascii="Arial Nova Light" w:hAnsi="Arial Nova Light" w:cs="Arial"/>
          <w:color w:val="000000"/>
          <w:lang w:eastAsia="it-IT"/>
          <w14:ligatures w14:val="none"/>
        </w:rPr>
        <w:t xml:space="preserve">Il </w:t>
      </w:r>
      <w:r w:rsidRPr="00A8263D">
        <w:rPr>
          <w:rFonts w:ascii="Arial Nova Light" w:hAnsi="Arial Nova Light" w:cs="Arial"/>
          <w:color w:val="000000"/>
          <w:u w:val="single"/>
          <w:lang w:eastAsia="it-IT"/>
          <w14:ligatures w14:val="none"/>
        </w:rPr>
        <w:t>bilancio aziendale</w:t>
      </w:r>
      <w:r w:rsidRPr="00A8263D">
        <w:rPr>
          <w:rFonts w:ascii="Arial Nova Light" w:hAnsi="Arial Nova Light" w:cs="Arial"/>
          <w:color w:val="000000"/>
          <w:lang w:eastAsia="it-IT"/>
          <w14:ligatures w14:val="none"/>
        </w:rPr>
        <w:t xml:space="preserve"> è lo strumento base</w:t>
      </w:r>
      <w:r w:rsidR="0013444B" w:rsidRPr="00A8263D">
        <w:rPr>
          <w:rFonts w:ascii="Arial Nova Light" w:hAnsi="Arial Nova Light" w:cs="Arial"/>
          <w:color w:val="000000"/>
          <w:lang w:eastAsia="it-IT"/>
          <w14:ligatures w14:val="none"/>
        </w:rPr>
        <w:t xml:space="preserve"> perché</w:t>
      </w:r>
      <w:r w:rsidRPr="00A8263D">
        <w:rPr>
          <w:rFonts w:ascii="Arial Nova Light" w:hAnsi="Arial Nova Light" w:cs="Arial"/>
          <w:color w:val="000000"/>
          <w:lang w:eastAsia="it-IT"/>
          <w14:ligatures w14:val="none"/>
        </w:rPr>
        <w:t xml:space="preserve"> è </w:t>
      </w:r>
      <w:r w:rsidR="0013444B" w:rsidRPr="00A8263D">
        <w:rPr>
          <w:rFonts w:ascii="Arial Nova Light" w:hAnsi="Arial Nova Light" w:cs="Arial"/>
          <w:color w:val="000000"/>
          <w:lang w:eastAsia="it-IT"/>
          <w14:ligatures w14:val="none"/>
        </w:rPr>
        <w:t xml:space="preserve">comunque </w:t>
      </w:r>
      <w:r w:rsidRPr="00A8263D">
        <w:rPr>
          <w:rFonts w:ascii="Arial Nova Light" w:hAnsi="Arial Nova Light" w:cs="Arial"/>
          <w:color w:val="000000"/>
          <w:u w:val="single"/>
          <w:lang w:eastAsia="it-IT"/>
          <w14:ligatures w14:val="none"/>
        </w:rPr>
        <w:t>disponibile</w:t>
      </w:r>
      <w:r w:rsidRPr="00A8263D">
        <w:rPr>
          <w:rFonts w:ascii="Arial Nova Light" w:hAnsi="Arial Nova Light" w:cs="Arial"/>
          <w:color w:val="000000"/>
          <w:lang w:eastAsia="it-IT"/>
          <w14:ligatures w14:val="none"/>
        </w:rPr>
        <w:t xml:space="preserve">, in quanto viene già predisposto per ottemperare ad obblighi societari e fiscali, è </w:t>
      </w:r>
      <w:r w:rsidRPr="00A8263D">
        <w:rPr>
          <w:rFonts w:ascii="Arial Nova Light" w:hAnsi="Arial Nova Light" w:cs="Arial"/>
          <w:color w:val="000000"/>
          <w:u w:val="single"/>
          <w:lang w:eastAsia="it-IT"/>
          <w14:ligatures w14:val="none"/>
        </w:rPr>
        <w:t>completo</w:t>
      </w:r>
      <w:r w:rsidRPr="00A8263D">
        <w:rPr>
          <w:rFonts w:ascii="Arial Nova Light" w:hAnsi="Arial Nova Light" w:cs="Arial"/>
          <w:color w:val="000000"/>
          <w:lang w:eastAsia="it-IT"/>
          <w14:ligatures w14:val="none"/>
        </w:rPr>
        <w:t xml:space="preserve"> poiché contiene la sintesi di tutte le attività svolte nell’arco di un dato periodo ed è </w:t>
      </w:r>
      <w:r w:rsidRPr="00A8263D">
        <w:rPr>
          <w:rFonts w:ascii="Arial Nova Light" w:hAnsi="Arial Nova Light" w:cs="Arial"/>
          <w:color w:val="000000"/>
          <w:u w:val="single"/>
          <w:lang w:eastAsia="it-IT"/>
          <w14:ligatures w14:val="none"/>
        </w:rPr>
        <w:t>verificato</w:t>
      </w:r>
      <w:r w:rsidRPr="00A8263D">
        <w:rPr>
          <w:rFonts w:ascii="Arial Nova Light" w:hAnsi="Arial Nova Light" w:cs="Arial"/>
          <w:color w:val="000000"/>
          <w:lang w:eastAsia="it-IT"/>
          <w14:ligatures w14:val="none"/>
        </w:rPr>
        <w:t xml:space="preserve"> perché i dati di bilancio sono precisi e validati da una meticolosa attività di registrazioni contabili.</w:t>
      </w:r>
    </w:p>
    <w:p w14:paraId="4BDC61CB" w14:textId="77777777" w:rsidR="00A250B3" w:rsidRPr="00A8263D" w:rsidRDefault="00A250B3" w:rsidP="00A250B3">
      <w:pPr>
        <w:shd w:val="clear" w:color="auto" w:fill="FFFFFF"/>
        <w:ind w:right="-1"/>
        <w:jc w:val="both"/>
        <w:rPr>
          <w:rFonts w:ascii="Arial Nova Light" w:hAnsi="Arial Nova Light" w:cs="Arial"/>
          <w:color w:val="6D7783"/>
          <w:lang w:eastAsia="it-IT"/>
          <w14:ligatures w14:val="none"/>
        </w:rPr>
      </w:pPr>
      <w:r w:rsidRPr="00A8263D">
        <w:rPr>
          <w:rFonts w:ascii="Arial Nova Light" w:hAnsi="Arial Nova Light" w:cs="Arial"/>
          <w:color w:val="000000"/>
          <w:lang w:eastAsia="it-IT"/>
          <w14:ligatures w14:val="none"/>
        </w:rPr>
        <w:t xml:space="preserve">Per contro il bilancio ha anche una serie di limiti perché non è di facile comprensione per chi non è specialista, contiene molti dettagli informativi che hanno poca rilevanza sul piano gestionale e di solito arriva in ritardo nelle mani dell’imprenditore. </w:t>
      </w:r>
    </w:p>
    <w:p w14:paraId="0A793240" w14:textId="1AEAE3F3" w:rsidR="00A250B3" w:rsidRPr="00A8263D" w:rsidRDefault="00A250B3" w:rsidP="00A250B3">
      <w:pPr>
        <w:shd w:val="clear" w:color="auto" w:fill="FFFFFF"/>
        <w:ind w:right="-1"/>
        <w:jc w:val="both"/>
        <w:rPr>
          <w:rFonts w:ascii="Arial Nova Light" w:hAnsi="Arial Nova Light" w:cs="Arial"/>
          <w:color w:val="000000"/>
          <w:lang w:eastAsia="it-IT"/>
          <w14:ligatures w14:val="none"/>
        </w:rPr>
      </w:pPr>
      <w:r w:rsidRPr="00A8263D">
        <w:rPr>
          <w:rFonts w:ascii="Arial Nova Light" w:hAnsi="Arial Nova Light" w:cs="Arial"/>
          <w:color w:val="000000"/>
          <w:lang w:eastAsia="it-IT"/>
          <w14:ligatures w14:val="none"/>
        </w:rPr>
        <w:t xml:space="preserve">Da tali limiti nasce la necessità di adottare un adeguato assetto contabile, cioè processi che permettano di ricavare e utilizzare le informazioni dal bilancio che si concretizza nell’adozione di un </w:t>
      </w:r>
      <w:r w:rsidRPr="00A8263D">
        <w:rPr>
          <w:rFonts w:ascii="Arial Nova Light" w:hAnsi="Arial Nova Light" w:cs="Arial"/>
          <w:b/>
          <w:bCs/>
          <w:color w:val="000000"/>
          <w:lang w:eastAsia="it-IT"/>
          <w14:ligatures w14:val="none"/>
        </w:rPr>
        <w:t>Cruscotto di Controllo aziendale</w:t>
      </w:r>
      <w:r w:rsidRPr="00A8263D">
        <w:rPr>
          <w:rFonts w:ascii="Arial Nova Light" w:hAnsi="Arial Nova Light" w:cs="Arial"/>
          <w:color w:val="000000"/>
          <w:lang w:eastAsia="it-IT"/>
          <w14:ligatures w14:val="none"/>
        </w:rPr>
        <w:t xml:space="preserve"> in grado di fornire in poche pagine una sintesi adeguata a verificare l’andamento prospettico.</w:t>
      </w:r>
      <w:r w:rsidR="0013444B" w:rsidRPr="00A8263D">
        <w:rPr>
          <w:rFonts w:ascii="Arial Nova Light" w:hAnsi="Arial Nova Light" w:cs="Arial"/>
          <w:color w:val="000000"/>
          <w:lang w:eastAsia="it-IT"/>
          <w14:ligatures w14:val="none"/>
        </w:rPr>
        <w:t xml:space="preserve"> Più avanti ne daremo un esempio.</w:t>
      </w:r>
    </w:p>
    <w:p w14:paraId="320462C0" w14:textId="77777777" w:rsidR="0013444B" w:rsidRPr="00A8263D" w:rsidRDefault="0013444B" w:rsidP="00A250B3">
      <w:pPr>
        <w:shd w:val="clear" w:color="auto" w:fill="FFFFFF"/>
        <w:ind w:right="-1"/>
        <w:jc w:val="both"/>
        <w:rPr>
          <w:rFonts w:ascii="Arial Nova Light" w:hAnsi="Arial Nova Light" w:cs="Arial"/>
          <w:b/>
          <w:bCs/>
          <w:color w:val="000000"/>
          <w:lang w:eastAsia="it-IT"/>
          <w14:ligatures w14:val="none"/>
        </w:rPr>
      </w:pPr>
    </w:p>
    <w:p w14:paraId="426AD3FC" w14:textId="4037A6BC" w:rsidR="00A250B3" w:rsidRPr="00A8263D" w:rsidRDefault="00A250B3" w:rsidP="00A250B3">
      <w:pPr>
        <w:shd w:val="clear" w:color="auto" w:fill="FFFFFF"/>
        <w:ind w:right="-1"/>
        <w:jc w:val="both"/>
        <w:rPr>
          <w:rFonts w:ascii="Arial Nova Light" w:hAnsi="Arial Nova Light" w:cs="Arial"/>
          <w:color w:val="293340"/>
          <w:lang w:eastAsia="it-IT"/>
          <w14:ligatures w14:val="none"/>
        </w:rPr>
      </w:pPr>
      <w:r w:rsidRPr="00A8263D">
        <w:rPr>
          <w:rFonts w:ascii="Arial Nova Light" w:hAnsi="Arial Nova Light" w:cs="Arial"/>
          <w:b/>
          <w:bCs/>
          <w:color w:val="000000"/>
          <w:lang w:eastAsia="it-IT"/>
          <w14:ligatures w14:val="none"/>
        </w:rPr>
        <w:t>L’Assetto Contabile</w:t>
      </w:r>
    </w:p>
    <w:p w14:paraId="42181C09" w14:textId="77777777" w:rsidR="0013444B" w:rsidRPr="00A8263D" w:rsidRDefault="00A250B3" w:rsidP="00A250B3">
      <w:pPr>
        <w:shd w:val="clear" w:color="auto" w:fill="FFFFFF"/>
        <w:ind w:right="-1"/>
        <w:jc w:val="both"/>
        <w:rPr>
          <w:rFonts w:ascii="Arial Nova Light" w:hAnsi="Arial Nova Light" w:cs="Arial"/>
          <w:color w:val="333333"/>
          <w:lang w:eastAsia="it-IT"/>
          <w14:ligatures w14:val="none"/>
        </w:rPr>
      </w:pPr>
      <w:r w:rsidRPr="00A8263D">
        <w:rPr>
          <w:rFonts w:ascii="Arial Nova Light" w:hAnsi="Arial Nova Light" w:cs="Arial"/>
          <w:color w:val="333333"/>
          <w:lang w:eastAsia="it-IT"/>
          <w14:ligatures w14:val="none"/>
        </w:rPr>
        <w:t xml:space="preserve">Elemento centrale nella valutazione degli assetti aziendali consiste nell’implementazione di un sistema di pianificazione e controllo che permetta all’azienda di </w:t>
      </w:r>
      <w:r w:rsidRPr="00A8263D">
        <w:rPr>
          <w:rFonts w:ascii="Arial Nova Light" w:hAnsi="Arial Nova Light" w:cs="Arial"/>
          <w:color w:val="333333"/>
          <w:u w:val="single"/>
          <w:lang w:eastAsia="it-IT"/>
          <w14:ligatures w14:val="none"/>
        </w:rPr>
        <w:t>individuare preventivamente i rischi ai quali è esposta</w:t>
      </w:r>
      <w:r w:rsidRPr="00A8263D">
        <w:rPr>
          <w:rFonts w:ascii="Arial Nova Light" w:hAnsi="Arial Nova Light" w:cs="Arial"/>
          <w:color w:val="333333"/>
          <w:lang w:eastAsia="it-IT"/>
          <w14:ligatures w14:val="none"/>
        </w:rPr>
        <w:t xml:space="preserve"> e la loro conseguente mitigazione o eliminazione. </w:t>
      </w:r>
    </w:p>
    <w:p w14:paraId="01B843B4" w14:textId="77777777" w:rsidR="001943E6" w:rsidRPr="00A8263D" w:rsidRDefault="0013444B" w:rsidP="00A250B3">
      <w:pPr>
        <w:shd w:val="clear" w:color="auto" w:fill="FFFFFF"/>
        <w:ind w:right="-1"/>
        <w:jc w:val="both"/>
        <w:rPr>
          <w:rFonts w:ascii="Arial Nova Light" w:hAnsi="Arial Nova Light" w:cs="Arial"/>
          <w:color w:val="333333"/>
          <w:lang w:eastAsia="it-IT"/>
          <w14:ligatures w14:val="none"/>
        </w:rPr>
      </w:pPr>
      <w:r w:rsidRPr="00A8263D">
        <w:rPr>
          <w:rFonts w:ascii="Arial Nova Light" w:hAnsi="Arial Nova Light" w:cs="Arial"/>
          <w:color w:val="333333"/>
          <w:lang w:eastAsia="it-IT"/>
          <w14:ligatures w14:val="none"/>
        </w:rPr>
        <w:t xml:space="preserve">L’idea è quella di non farsi trascinare dalla corrente, ma di governare la rotta anche quando possibili avversità lo rendono difficile. Un fallimento, negli affari o nella vita, è il più delle volte il risultato di tante cause diverse che per vari motivi rendono difficile mantenere saldo il timone in mano. </w:t>
      </w:r>
    </w:p>
    <w:p w14:paraId="1E1B213B" w14:textId="5388646A" w:rsidR="0013444B" w:rsidRPr="00A8263D" w:rsidRDefault="0013444B" w:rsidP="00A250B3">
      <w:pPr>
        <w:shd w:val="clear" w:color="auto" w:fill="FFFFFF"/>
        <w:ind w:right="-1"/>
        <w:jc w:val="both"/>
        <w:rPr>
          <w:rFonts w:ascii="Arial Nova Light" w:hAnsi="Arial Nova Light" w:cs="Arial"/>
          <w:color w:val="333333"/>
          <w:lang w:eastAsia="it-IT"/>
          <w14:ligatures w14:val="none"/>
        </w:rPr>
      </w:pPr>
      <w:r w:rsidRPr="00A8263D">
        <w:rPr>
          <w:rFonts w:ascii="Arial Nova Light" w:hAnsi="Arial Nova Light" w:cs="Arial"/>
          <w:color w:val="333333"/>
          <w:lang w:eastAsia="it-IT"/>
          <w14:ligatures w14:val="none"/>
        </w:rPr>
        <w:t>Avere ben chiari quali sono i Fattori Critici di Successo della nostra impresa, conoscere</w:t>
      </w:r>
      <w:r w:rsidR="001943E6" w:rsidRPr="00A8263D">
        <w:rPr>
          <w:rFonts w:ascii="Arial Nova Light" w:hAnsi="Arial Nova Light" w:cs="Arial"/>
          <w:color w:val="333333"/>
          <w:lang w:eastAsia="it-IT"/>
          <w14:ligatures w14:val="none"/>
        </w:rPr>
        <w:t>, attraverso la predisposizione di una Mappa Strategica,</w:t>
      </w:r>
      <w:r w:rsidRPr="00A8263D">
        <w:rPr>
          <w:rFonts w:ascii="Arial Nova Light" w:hAnsi="Arial Nova Light" w:cs="Arial"/>
          <w:color w:val="333333"/>
          <w:lang w:eastAsia="it-IT"/>
          <w14:ligatures w14:val="none"/>
        </w:rPr>
        <w:t xml:space="preserve"> le relazioni causa effetto che legano fra loro i risultati economico-finanziari, </w:t>
      </w:r>
      <w:r w:rsidR="001943E6" w:rsidRPr="00A8263D">
        <w:rPr>
          <w:rFonts w:ascii="Arial Nova Light" w:hAnsi="Arial Nova Light" w:cs="Arial"/>
          <w:color w:val="333333"/>
          <w:lang w:eastAsia="it-IT"/>
          <w14:ligatures w14:val="none"/>
        </w:rPr>
        <w:t>le relazioni commerciali, i processi aziendali e il nostro know-how è fondamentale.</w:t>
      </w:r>
    </w:p>
    <w:p w14:paraId="17534177" w14:textId="6A68E22B" w:rsidR="00A250B3" w:rsidRPr="00A8263D" w:rsidRDefault="00A250B3" w:rsidP="00A250B3">
      <w:pPr>
        <w:shd w:val="clear" w:color="auto" w:fill="FFFFFF"/>
        <w:ind w:right="-1"/>
        <w:jc w:val="both"/>
        <w:rPr>
          <w:rFonts w:ascii="Arial Nova Light" w:hAnsi="Arial Nova Light" w:cs="Arial"/>
          <w:color w:val="333333"/>
          <w:lang w:eastAsia="it-IT"/>
          <w14:ligatures w14:val="none"/>
        </w:rPr>
      </w:pPr>
      <w:r w:rsidRPr="00A8263D">
        <w:rPr>
          <w:rFonts w:ascii="Arial Nova Light" w:hAnsi="Arial Nova Light" w:cs="Arial"/>
          <w:color w:val="333333"/>
          <w:lang w:eastAsia="it-IT"/>
          <w14:ligatures w14:val="none"/>
        </w:rPr>
        <w:t xml:space="preserve">Sistemi di pianificazione e controllo efficaci sono in grado di individuare i segnali di squilibrio e di attivare tempestivamente le opportune azioni correttive ed eventualmente gli strumenti e le procedure di allerta previste dal Codice della </w:t>
      </w:r>
      <w:r w:rsidR="001943E6" w:rsidRPr="00A8263D">
        <w:rPr>
          <w:rFonts w:ascii="Arial Nova Light" w:hAnsi="Arial Nova Light" w:cs="Arial"/>
          <w:color w:val="333333"/>
          <w:lang w:eastAsia="it-IT"/>
          <w14:ligatures w14:val="none"/>
        </w:rPr>
        <w:t>C</w:t>
      </w:r>
      <w:r w:rsidRPr="00A8263D">
        <w:rPr>
          <w:rFonts w:ascii="Arial Nova Light" w:hAnsi="Arial Nova Light" w:cs="Arial"/>
          <w:color w:val="333333"/>
          <w:lang w:eastAsia="it-IT"/>
          <w14:ligatures w14:val="none"/>
        </w:rPr>
        <w:t>risi e dell’</w:t>
      </w:r>
      <w:r w:rsidR="001943E6" w:rsidRPr="00A8263D">
        <w:rPr>
          <w:rFonts w:ascii="Arial Nova Light" w:hAnsi="Arial Nova Light" w:cs="Arial"/>
          <w:color w:val="333333"/>
          <w:lang w:eastAsia="it-IT"/>
          <w14:ligatures w14:val="none"/>
        </w:rPr>
        <w:t>I</w:t>
      </w:r>
      <w:r w:rsidRPr="00A8263D">
        <w:rPr>
          <w:rFonts w:ascii="Arial Nova Light" w:hAnsi="Arial Nova Light" w:cs="Arial"/>
          <w:color w:val="333333"/>
          <w:lang w:eastAsia="it-IT"/>
          <w14:ligatures w14:val="none"/>
        </w:rPr>
        <w:t>nsolvenza, al fine di evitare situazioni di crisi e di preservare la continuità aziendale.</w:t>
      </w:r>
    </w:p>
    <w:p w14:paraId="700340AE" w14:textId="77777777" w:rsidR="00A250B3" w:rsidRPr="00A8263D" w:rsidRDefault="00A250B3" w:rsidP="00A250B3">
      <w:pPr>
        <w:shd w:val="clear" w:color="auto" w:fill="FFFFFF"/>
        <w:ind w:right="-1"/>
        <w:jc w:val="both"/>
        <w:rPr>
          <w:rFonts w:ascii="Arial Nova Light" w:hAnsi="Arial Nova Light" w:cs="Arial"/>
          <w:color w:val="333333"/>
          <w:lang w:eastAsia="it-IT"/>
          <w14:ligatures w14:val="none"/>
        </w:rPr>
      </w:pPr>
      <w:r w:rsidRPr="00A8263D">
        <w:rPr>
          <w:rFonts w:ascii="Arial Nova Light" w:hAnsi="Arial Nova Light" w:cs="Arial"/>
          <w:color w:val="333333"/>
          <w:lang w:eastAsia="it-IT"/>
          <w14:ligatures w14:val="none"/>
        </w:rPr>
        <w:t>Pianificazione e controllo di gestione sono, dunque, gli strumenti operativi utili ad evitare la crisi d’impresa.</w:t>
      </w:r>
    </w:p>
    <w:p w14:paraId="1B2F2596" w14:textId="77777777" w:rsidR="001943E6" w:rsidRPr="00A8263D" w:rsidRDefault="001943E6" w:rsidP="00A250B3">
      <w:pPr>
        <w:ind w:right="-1"/>
        <w:jc w:val="both"/>
        <w:rPr>
          <w:rFonts w:ascii="Arial Nova Light" w:hAnsi="Arial Nova Light" w:cs="Arial"/>
          <w:b/>
          <w:bCs/>
          <w:color w:val="2F5496"/>
          <w:lang w:eastAsia="it-IT"/>
          <w14:ligatures w14:val="none"/>
        </w:rPr>
      </w:pPr>
    </w:p>
    <w:p w14:paraId="2F37E8E0" w14:textId="3281087B" w:rsidR="00A250B3" w:rsidRPr="00A8263D" w:rsidRDefault="00A250B3" w:rsidP="00A250B3">
      <w:pPr>
        <w:ind w:right="-1"/>
        <w:jc w:val="both"/>
        <w:rPr>
          <w:rFonts w:ascii="Arial Nova Light" w:hAnsi="Arial Nova Light" w:cs="Arial"/>
          <w:b/>
          <w:bCs/>
          <w:color w:val="2F5496"/>
          <w:lang w:eastAsia="it-IT"/>
          <w14:ligatures w14:val="none"/>
        </w:rPr>
      </w:pPr>
      <w:r w:rsidRPr="00A8263D">
        <w:rPr>
          <w:rFonts w:ascii="Arial Nova Light" w:hAnsi="Arial Nova Light" w:cs="Arial"/>
          <w:b/>
          <w:bCs/>
          <w:color w:val="2F5496"/>
          <w:lang w:eastAsia="it-IT"/>
          <w14:ligatures w14:val="none"/>
        </w:rPr>
        <w:t>Perché adeguarsi?</w:t>
      </w:r>
    </w:p>
    <w:p w14:paraId="0EED9B17" w14:textId="77777777" w:rsidR="00A250B3" w:rsidRPr="00A8263D" w:rsidRDefault="00A250B3" w:rsidP="00A250B3">
      <w:pPr>
        <w:shd w:val="clear" w:color="auto" w:fill="FFFFFF"/>
        <w:ind w:right="-1"/>
        <w:jc w:val="both"/>
        <w:rPr>
          <w:rFonts w:ascii="Arial Nova Light" w:hAnsi="Arial Nova Light" w:cs="Arial"/>
          <w:color w:val="333333"/>
          <w:lang w:eastAsia="it-IT"/>
          <w14:ligatures w14:val="none"/>
        </w:rPr>
      </w:pPr>
      <w:r w:rsidRPr="00A8263D">
        <w:rPr>
          <w:rFonts w:ascii="Arial Nova Light" w:hAnsi="Arial Nova Light" w:cs="Arial"/>
          <w:color w:val="333333"/>
          <w:lang w:eastAsia="it-IT"/>
          <w14:ligatures w14:val="none"/>
        </w:rPr>
        <w:lastRenderedPageBreak/>
        <w:t>Adeguarsi ai principi imposti dal Codice della Crisi è innanzitutto necessario per il bene e lo sviluppo dell’impresa, ma rispettare la norma è anche l’unica soluzione che consente a imprenditori e amministratori di società di evitare (o attenuare) responsabilità personali.</w:t>
      </w:r>
    </w:p>
    <w:p w14:paraId="4C63804B" w14:textId="77777777" w:rsidR="00A250B3" w:rsidRPr="00A8263D" w:rsidRDefault="00A250B3" w:rsidP="00A250B3">
      <w:pPr>
        <w:shd w:val="clear" w:color="auto" w:fill="FFFFFF"/>
        <w:ind w:right="-1"/>
        <w:jc w:val="both"/>
        <w:rPr>
          <w:rFonts w:ascii="Arial Nova Light" w:hAnsi="Arial Nova Light" w:cs="Arial"/>
          <w:color w:val="333333"/>
          <w:lang w:eastAsia="it-IT"/>
          <w14:ligatures w14:val="none"/>
        </w:rPr>
      </w:pPr>
    </w:p>
    <w:p w14:paraId="792CD261" w14:textId="2DBA6BFA" w:rsidR="00A250B3" w:rsidRPr="00A8263D" w:rsidRDefault="00A250B3" w:rsidP="00A250B3">
      <w:pPr>
        <w:shd w:val="clear" w:color="auto" w:fill="FFFFFF"/>
        <w:ind w:right="-1"/>
        <w:jc w:val="both"/>
        <w:rPr>
          <w:rFonts w:ascii="Arial Nova Light" w:hAnsi="Arial Nova Light" w:cs="Arial"/>
          <w:color w:val="333333"/>
          <w:lang w:eastAsia="it-IT"/>
          <w14:ligatures w14:val="none"/>
        </w:rPr>
      </w:pPr>
      <w:r w:rsidRPr="00A8263D">
        <w:rPr>
          <w:rFonts w:ascii="Arial Nova Light" w:hAnsi="Arial Nova Light" w:cs="Arial"/>
          <w:color w:val="333333"/>
          <w:lang w:eastAsia="it-IT"/>
          <w14:ligatures w14:val="none"/>
        </w:rPr>
        <w:t xml:space="preserve">Si ricorda che dal mese di marzo 2019 l’art. 2476 del Codice Civile ha aggiunto alle tradizionali forme di responsabilità degli amministratori di S.r.l., la </w:t>
      </w:r>
      <w:r w:rsidRPr="00A8263D">
        <w:rPr>
          <w:rFonts w:ascii="Arial Nova Light" w:hAnsi="Arial Nova Light" w:cs="Arial"/>
          <w:b/>
          <w:bCs/>
          <w:color w:val="333333"/>
          <w:lang w:eastAsia="it-IT"/>
          <w14:ligatures w14:val="none"/>
        </w:rPr>
        <w:t xml:space="preserve">responsabilità verso i creditori sociali per </w:t>
      </w:r>
      <w:r w:rsidRPr="00A8263D">
        <w:rPr>
          <w:rFonts w:ascii="Arial Nova Light" w:hAnsi="Arial Nova Light" w:cs="Arial"/>
          <w:b/>
          <w:bCs/>
          <w:color w:val="333333"/>
          <w:u w:val="single"/>
          <w:lang w:eastAsia="it-IT"/>
          <w14:ligatures w14:val="none"/>
        </w:rPr>
        <w:t>l’inosservanza degli obblighi inerenti alla conservazione dell’integrità del patrimonio sociale</w:t>
      </w:r>
      <w:r w:rsidRPr="00A8263D">
        <w:rPr>
          <w:rFonts w:ascii="Arial Nova Light" w:hAnsi="Arial Nova Light" w:cs="Arial"/>
          <w:color w:val="333333"/>
          <w:lang w:eastAsia="it-IT"/>
          <w14:ligatures w14:val="none"/>
        </w:rPr>
        <w:t>. L’azione può essere proposta dai creditori quando il patrimonio sociale risulta insufficiente al soddisfacimento dei loro crediti. La norma è applicabile anche nei confronti dei soci operativi consenzienti</w:t>
      </w:r>
      <w:r w:rsidR="001943E6" w:rsidRPr="00A8263D">
        <w:rPr>
          <w:rFonts w:ascii="Arial Nova Light" w:hAnsi="Arial Nova Light" w:cs="Arial"/>
          <w:color w:val="333333"/>
          <w:lang w:eastAsia="it-IT"/>
          <w14:ligatures w14:val="none"/>
        </w:rPr>
        <w:t>, fatto questo che ricorre di frequente nelle piccole s.r.l. a base familiare, dove tutti sanno tutto.</w:t>
      </w:r>
    </w:p>
    <w:p w14:paraId="478FDAC9" w14:textId="77777777" w:rsidR="00A250B3" w:rsidRPr="00A8263D" w:rsidRDefault="00A250B3" w:rsidP="00A250B3">
      <w:pPr>
        <w:shd w:val="clear" w:color="auto" w:fill="FFFFFF"/>
        <w:ind w:right="-1"/>
        <w:jc w:val="both"/>
        <w:rPr>
          <w:rFonts w:ascii="Arial Nova Light" w:hAnsi="Arial Nova Light" w:cs="Arial"/>
          <w:color w:val="333333"/>
          <w:lang w:eastAsia="it-IT"/>
          <w14:ligatures w14:val="none"/>
        </w:rPr>
      </w:pPr>
      <w:r w:rsidRPr="00A8263D">
        <w:rPr>
          <w:rFonts w:ascii="Arial Nova Light" w:hAnsi="Arial Nova Light" w:cs="Arial"/>
          <w:color w:val="333333"/>
          <w:lang w:eastAsia="it-IT"/>
          <w14:ligatures w14:val="none"/>
        </w:rPr>
        <w:t xml:space="preserve">L’amministratore ed i soci operativi di una S.r.l. </w:t>
      </w:r>
      <w:r w:rsidRPr="00A8263D">
        <w:rPr>
          <w:rFonts w:ascii="Arial Nova Light" w:hAnsi="Arial Nova Light" w:cs="Arial"/>
          <w:b/>
          <w:bCs/>
          <w:color w:val="333333"/>
          <w:lang w:eastAsia="it-IT"/>
          <w14:ligatures w14:val="none"/>
        </w:rPr>
        <w:t>rischiano quindi il proprio intero patrimonio personale</w:t>
      </w:r>
      <w:r w:rsidRPr="00A8263D">
        <w:rPr>
          <w:rFonts w:ascii="Arial Nova Light" w:hAnsi="Arial Nova Light" w:cs="Arial"/>
          <w:color w:val="333333"/>
          <w:lang w:eastAsia="it-IT"/>
          <w14:ligatures w14:val="none"/>
        </w:rPr>
        <w:t xml:space="preserve"> se non sono stati tutti gli strumenti necessari.</w:t>
      </w:r>
    </w:p>
    <w:p w14:paraId="5093649C" w14:textId="77777777" w:rsidR="001943E6" w:rsidRPr="00A8263D" w:rsidRDefault="00A250B3" w:rsidP="00A250B3">
      <w:pPr>
        <w:shd w:val="clear" w:color="auto" w:fill="FFFFFF"/>
        <w:ind w:right="-1"/>
        <w:jc w:val="both"/>
        <w:rPr>
          <w:rFonts w:ascii="Arial Nova Light" w:hAnsi="Arial Nova Light" w:cs="Arial"/>
          <w:color w:val="333333"/>
          <w:lang w:eastAsia="it-IT"/>
          <w14:ligatures w14:val="none"/>
        </w:rPr>
      </w:pPr>
      <w:r w:rsidRPr="00A8263D">
        <w:rPr>
          <w:rFonts w:ascii="Arial Nova Light" w:hAnsi="Arial Nova Light" w:cs="Arial"/>
          <w:color w:val="333333"/>
          <w:lang w:eastAsia="it-IT"/>
          <w14:ligatures w14:val="none"/>
        </w:rPr>
        <w:t xml:space="preserve">E non è il caso di farsi trarre in inganno dalla “buona salute” dell’impresa. </w:t>
      </w:r>
    </w:p>
    <w:p w14:paraId="622266C0" w14:textId="506FD689" w:rsidR="00A250B3" w:rsidRPr="00A8263D" w:rsidRDefault="00A250B3" w:rsidP="00A250B3">
      <w:pPr>
        <w:shd w:val="clear" w:color="auto" w:fill="FFFFFF"/>
        <w:ind w:right="-1"/>
        <w:jc w:val="both"/>
        <w:rPr>
          <w:rFonts w:ascii="Arial Nova Light" w:hAnsi="Arial Nova Light" w:cs="Arial"/>
          <w:color w:val="333333"/>
          <w:lang w:eastAsia="it-IT"/>
          <w14:ligatures w14:val="none"/>
        </w:rPr>
      </w:pPr>
      <w:r w:rsidRPr="00A8263D">
        <w:rPr>
          <w:rFonts w:ascii="Arial Nova Light" w:hAnsi="Arial Nova Light" w:cs="Arial"/>
          <w:color w:val="333333"/>
          <w:lang w:eastAsia="it-IT"/>
          <w14:ligatures w14:val="none"/>
        </w:rPr>
        <w:t>Le aziende sane non sono immuni da rischi, soprattutto in un contesto sempre più mutevole ed incerto come quello che sta caratterizzando gli ultimi anni. In un</w:t>
      </w:r>
      <w:r w:rsidR="001943E6" w:rsidRPr="00A8263D">
        <w:rPr>
          <w:rFonts w:ascii="Arial Nova Light" w:hAnsi="Arial Nova Light" w:cs="Arial"/>
          <w:color w:val="333333"/>
          <w:lang w:eastAsia="it-IT"/>
          <w14:ligatures w14:val="none"/>
        </w:rPr>
        <w:t>a</w:t>
      </w:r>
      <w:r w:rsidRPr="00A8263D">
        <w:rPr>
          <w:rFonts w:ascii="Arial Nova Light" w:hAnsi="Arial Nova Light" w:cs="Arial"/>
          <w:color w:val="333333"/>
          <w:lang w:eastAsia="it-IT"/>
          <w14:ligatures w14:val="none"/>
        </w:rPr>
        <w:t xml:space="preserve"> recente sentenza del 2022 il </w:t>
      </w:r>
      <w:r w:rsidR="001943E6" w:rsidRPr="00A8263D">
        <w:rPr>
          <w:rFonts w:ascii="Arial Nova Light" w:hAnsi="Arial Nova Light" w:cs="Arial"/>
          <w:color w:val="333333"/>
          <w:lang w:eastAsia="it-IT"/>
          <w14:ligatures w14:val="none"/>
        </w:rPr>
        <w:t>t</w:t>
      </w:r>
      <w:r w:rsidRPr="00A8263D">
        <w:rPr>
          <w:rFonts w:ascii="Arial Nova Light" w:hAnsi="Arial Nova Light" w:cs="Arial"/>
          <w:color w:val="333333"/>
          <w:lang w:eastAsia="it-IT"/>
          <w14:ligatures w14:val="none"/>
        </w:rPr>
        <w:t xml:space="preserve">ribunale ha stabilito infatti che la violazione del dovere di predisporre adeguati assetti organizzativi </w:t>
      </w:r>
      <w:r w:rsidRPr="00A8263D">
        <w:rPr>
          <w:rFonts w:ascii="Arial Nova Light" w:hAnsi="Arial Nova Light" w:cs="Arial"/>
          <w:color w:val="333333"/>
          <w:u w:val="single"/>
          <w:lang w:eastAsia="it-IT"/>
          <w14:ligatures w14:val="none"/>
        </w:rPr>
        <w:t>è più grave quando la società non si trova in crisi</w:t>
      </w:r>
      <w:r w:rsidRPr="00A8263D">
        <w:rPr>
          <w:rFonts w:ascii="Arial Nova Light" w:hAnsi="Arial Nova Light" w:cs="Arial"/>
          <w:color w:val="333333"/>
          <w:lang w:eastAsia="it-IT"/>
          <w14:ligatures w14:val="none"/>
        </w:rPr>
        <w:t>, perché è proprio in questa fase che l’impresa ha le risorse anche economiche necessarie per predisporre con efficacia le opportune misure organizzative, contabili e amministrative.</w:t>
      </w:r>
    </w:p>
    <w:p w14:paraId="5CCCC291" w14:textId="77777777" w:rsidR="00A250B3" w:rsidRPr="00A8263D" w:rsidRDefault="00A250B3" w:rsidP="00A250B3">
      <w:pPr>
        <w:shd w:val="clear" w:color="auto" w:fill="FFFFFF"/>
        <w:ind w:right="-1"/>
        <w:jc w:val="both"/>
        <w:rPr>
          <w:rFonts w:ascii="Arial Nova Light" w:hAnsi="Arial Nova Light" w:cs="Arial"/>
          <w:color w:val="333333"/>
          <w:lang w:eastAsia="it-IT"/>
          <w14:ligatures w14:val="none"/>
        </w:rPr>
      </w:pPr>
    </w:p>
    <w:p w14:paraId="36512751" w14:textId="77777777" w:rsidR="00A250B3" w:rsidRPr="00A8263D" w:rsidRDefault="00A250B3" w:rsidP="00A250B3">
      <w:pPr>
        <w:pStyle w:val="Titolo"/>
        <w:ind w:left="0" w:right="-1"/>
        <w:rPr>
          <w:rFonts w:ascii="Arial Nova Light" w:hAnsi="Arial Nova Light" w:cs="Arial"/>
          <w:b w:val="0"/>
          <w:bCs w:val="0"/>
          <w:sz w:val="22"/>
          <w:szCs w:val="22"/>
        </w:rPr>
      </w:pPr>
      <w:r w:rsidRPr="00A8263D">
        <w:rPr>
          <w:rFonts w:ascii="Arial Nova Light" w:hAnsi="Arial Nova Light" w:cs="Arial"/>
          <w:b w:val="0"/>
          <w:bCs w:val="0"/>
          <w:sz w:val="22"/>
          <w:szCs w:val="22"/>
        </w:rPr>
        <w:t>Un ulteriore incentivo all’adozione di strumenti di pianificazione e controllo adeguati viene dal fatto che dal mese di giugno del 2021 sono entrate in vigore le nuove linee guida per la concessione di prestiti redatte dall’</w:t>
      </w:r>
      <w:proofErr w:type="spellStart"/>
      <w:r w:rsidRPr="00A8263D">
        <w:rPr>
          <w:rFonts w:ascii="Arial Nova Light" w:hAnsi="Arial Nova Light" w:cs="Arial"/>
          <w:b w:val="0"/>
          <w:bCs w:val="0"/>
          <w:sz w:val="22"/>
          <w:szCs w:val="22"/>
        </w:rPr>
        <w:t>European</w:t>
      </w:r>
      <w:proofErr w:type="spellEnd"/>
      <w:r w:rsidRPr="00A8263D">
        <w:rPr>
          <w:rFonts w:ascii="Arial Nova Light" w:hAnsi="Arial Nova Light" w:cs="Arial"/>
          <w:b w:val="0"/>
          <w:bCs w:val="0"/>
          <w:sz w:val="22"/>
          <w:szCs w:val="22"/>
        </w:rPr>
        <w:t xml:space="preserve"> Banking Autority con le quali si raccomanda alle banche in sede di analisi del rischio di credito di “</w:t>
      </w:r>
      <w:r w:rsidRPr="00A8263D">
        <w:rPr>
          <w:rFonts w:ascii="Arial Nova Light" w:hAnsi="Arial Nova Light" w:cs="Arial"/>
          <w:sz w:val="22"/>
          <w:szCs w:val="22"/>
        </w:rPr>
        <w:t>valutare la capacità attuale e futura</w:t>
      </w:r>
      <w:r w:rsidRPr="00A8263D">
        <w:rPr>
          <w:rFonts w:ascii="Arial Nova Light" w:hAnsi="Arial Nova Light" w:cs="Arial"/>
          <w:b w:val="0"/>
          <w:bCs w:val="0"/>
          <w:sz w:val="22"/>
          <w:szCs w:val="22"/>
        </w:rPr>
        <w:t xml:space="preserve"> del cliente”.</w:t>
      </w:r>
    </w:p>
    <w:p w14:paraId="5009B7BA" w14:textId="77777777" w:rsidR="001943E6" w:rsidRPr="00A8263D" w:rsidRDefault="001943E6" w:rsidP="00A250B3">
      <w:pPr>
        <w:pStyle w:val="Titolo"/>
        <w:ind w:left="0" w:right="-1"/>
        <w:rPr>
          <w:rFonts w:ascii="Arial Nova Light" w:hAnsi="Arial Nova Light" w:cs="Arial"/>
          <w:b w:val="0"/>
          <w:bCs w:val="0"/>
          <w:sz w:val="22"/>
          <w:szCs w:val="22"/>
          <w14:ligatures w14:val="none"/>
        </w:rPr>
      </w:pPr>
    </w:p>
    <w:p w14:paraId="625E24D1" w14:textId="4C291E9E" w:rsidR="00A250B3" w:rsidRPr="00A8263D" w:rsidRDefault="00A250B3" w:rsidP="00A250B3">
      <w:pPr>
        <w:pStyle w:val="Titolo"/>
        <w:ind w:left="0" w:right="-1"/>
        <w:rPr>
          <w:rFonts w:ascii="Arial Nova Light" w:hAnsi="Arial Nova Light" w:cs="Arial"/>
          <w:b w:val="0"/>
          <w:bCs w:val="0"/>
          <w:sz w:val="22"/>
          <w:szCs w:val="22"/>
        </w:rPr>
      </w:pPr>
      <w:r w:rsidRPr="00A8263D">
        <w:rPr>
          <w:rFonts w:ascii="Arial Nova Light" w:hAnsi="Arial Nova Light" w:cs="Arial"/>
          <w:b w:val="0"/>
          <w:bCs w:val="0"/>
          <w:sz w:val="22"/>
          <w:szCs w:val="22"/>
        </w:rPr>
        <w:t xml:space="preserve">L’Autorità </w:t>
      </w:r>
      <w:r w:rsidR="001943E6" w:rsidRPr="00A8263D">
        <w:rPr>
          <w:rFonts w:ascii="Arial Nova Light" w:hAnsi="Arial Nova Light" w:cs="Arial"/>
          <w:b w:val="0"/>
          <w:bCs w:val="0"/>
          <w:sz w:val="22"/>
          <w:szCs w:val="22"/>
        </w:rPr>
        <w:t xml:space="preserve">Bancaria Europea </w:t>
      </w:r>
      <w:r w:rsidRPr="00A8263D">
        <w:rPr>
          <w:rFonts w:ascii="Arial Nova Light" w:hAnsi="Arial Nova Light" w:cs="Arial"/>
          <w:b w:val="0"/>
          <w:bCs w:val="0"/>
          <w:sz w:val="22"/>
          <w:szCs w:val="22"/>
        </w:rPr>
        <w:t xml:space="preserve">inoltre specifica che </w:t>
      </w:r>
      <w:r w:rsidR="001943E6" w:rsidRPr="00A8263D">
        <w:rPr>
          <w:rFonts w:ascii="Arial Nova Light" w:hAnsi="Arial Nova Light" w:cs="Arial"/>
          <w:b w:val="0"/>
          <w:bCs w:val="0"/>
          <w:sz w:val="22"/>
          <w:szCs w:val="22"/>
        </w:rPr>
        <w:t xml:space="preserve">tutti </w:t>
      </w:r>
      <w:r w:rsidRPr="00A8263D">
        <w:rPr>
          <w:rFonts w:ascii="Arial Nova Light" w:hAnsi="Arial Nova Light" w:cs="Arial"/>
          <w:b w:val="0"/>
          <w:bCs w:val="0"/>
          <w:sz w:val="22"/>
          <w:szCs w:val="22"/>
        </w:rPr>
        <w:t xml:space="preserve">gli enti bancari </w:t>
      </w:r>
      <w:r w:rsidR="001943E6" w:rsidRPr="00A8263D">
        <w:rPr>
          <w:rFonts w:ascii="Arial Nova Light" w:hAnsi="Arial Nova Light" w:cs="Arial"/>
          <w:b w:val="0"/>
          <w:bCs w:val="0"/>
          <w:sz w:val="22"/>
          <w:szCs w:val="22"/>
        </w:rPr>
        <w:t xml:space="preserve">dei paesi europei </w:t>
      </w:r>
      <w:r w:rsidRPr="00A8263D">
        <w:rPr>
          <w:rFonts w:ascii="Arial Nova Light" w:hAnsi="Arial Nova Light" w:cs="Arial"/>
          <w:b w:val="0"/>
          <w:bCs w:val="0"/>
          <w:sz w:val="22"/>
          <w:szCs w:val="22"/>
        </w:rPr>
        <w:t>d</w:t>
      </w:r>
      <w:r w:rsidR="001943E6" w:rsidRPr="00A8263D">
        <w:rPr>
          <w:rFonts w:ascii="Arial Nova Light" w:hAnsi="Arial Nova Light" w:cs="Arial"/>
          <w:b w:val="0"/>
          <w:bCs w:val="0"/>
          <w:sz w:val="22"/>
          <w:szCs w:val="22"/>
        </w:rPr>
        <w:t>evon</w:t>
      </w:r>
      <w:r w:rsidRPr="00A8263D">
        <w:rPr>
          <w:rFonts w:ascii="Arial Nova Light" w:hAnsi="Arial Nova Light" w:cs="Arial"/>
          <w:b w:val="0"/>
          <w:bCs w:val="0"/>
          <w:sz w:val="22"/>
          <w:szCs w:val="22"/>
        </w:rPr>
        <w:t xml:space="preserve">o decidere sulla base di una </w:t>
      </w:r>
      <w:r w:rsidRPr="00A8263D">
        <w:rPr>
          <w:rFonts w:ascii="Arial Nova Light" w:hAnsi="Arial Nova Light" w:cs="Arial"/>
          <w:sz w:val="22"/>
          <w:szCs w:val="22"/>
        </w:rPr>
        <w:t>stima realistica e sostenibile del reddito e del flusso di cassa futuro</w:t>
      </w:r>
      <w:r w:rsidRPr="00A8263D">
        <w:rPr>
          <w:rFonts w:ascii="Arial Nova Light" w:hAnsi="Arial Nova Light" w:cs="Arial"/>
          <w:b w:val="0"/>
          <w:bCs w:val="0"/>
          <w:sz w:val="22"/>
          <w:szCs w:val="22"/>
        </w:rPr>
        <w:t xml:space="preserve"> del cliente indicando i </w:t>
      </w:r>
      <w:r w:rsidRPr="00A8263D">
        <w:rPr>
          <w:rFonts w:ascii="Arial Nova Light" w:hAnsi="Arial Nova Light" w:cs="Arial"/>
          <w:sz w:val="22"/>
          <w:szCs w:val="22"/>
        </w:rPr>
        <w:t>“piani aziendali supportati da proiezioni finanziarie” fra le informazioni prioritarie per le analisi del merito creditizio</w:t>
      </w:r>
      <w:r w:rsidRPr="00A8263D">
        <w:rPr>
          <w:rFonts w:ascii="Arial Nova Light" w:hAnsi="Arial Nova Light" w:cs="Arial"/>
          <w:b w:val="0"/>
          <w:bCs w:val="0"/>
          <w:sz w:val="22"/>
          <w:szCs w:val="22"/>
        </w:rPr>
        <w:t xml:space="preserve"> e relegando le garanzie reali a semplice “via d’uscita dell’ente in caso di default o di deterioramento significativo del profilo di rischio e non la fonte primaria di rimborso”.</w:t>
      </w:r>
    </w:p>
    <w:p w14:paraId="1956973A" w14:textId="77777777" w:rsidR="00A8263D" w:rsidRPr="00A8263D" w:rsidRDefault="00A8263D" w:rsidP="00A250B3">
      <w:pPr>
        <w:pStyle w:val="Titolo"/>
        <w:ind w:left="0" w:right="-1"/>
        <w:rPr>
          <w:rFonts w:ascii="Arial Nova Light" w:hAnsi="Arial Nova Light" w:cs="Arial"/>
          <w:b w:val="0"/>
          <w:bCs w:val="0"/>
          <w:sz w:val="22"/>
          <w:szCs w:val="22"/>
        </w:rPr>
      </w:pPr>
    </w:p>
    <w:p w14:paraId="19CEBB9B" w14:textId="2C98AE37" w:rsidR="00A250B3" w:rsidRPr="00A8263D" w:rsidRDefault="00A8263D" w:rsidP="00A250B3">
      <w:pPr>
        <w:pStyle w:val="Titolo"/>
        <w:ind w:left="0" w:right="-1"/>
        <w:rPr>
          <w:rFonts w:ascii="Arial Nova Light" w:hAnsi="Arial Nova Light" w:cs="Arial"/>
          <w:b w:val="0"/>
          <w:bCs w:val="0"/>
          <w:sz w:val="22"/>
          <w:szCs w:val="22"/>
        </w:rPr>
      </w:pPr>
      <w:r w:rsidRPr="00A8263D">
        <w:rPr>
          <w:rFonts w:ascii="Arial Nova Light" w:hAnsi="Arial Nova Light" w:cs="Arial"/>
          <w:b w:val="0"/>
          <w:bCs w:val="0"/>
          <w:sz w:val="22"/>
          <w:szCs w:val="22"/>
        </w:rPr>
        <w:t xml:space="preserve">Tenendo conto sia delle opportunità di sostegno alla crescita descritte nelle precedenti Pillole di Futuro che dei rischi rappresentati dalla mancata osservanza delle nuove norme del Codice della Crisi la nostra raccomandazione è </w:t>
      </w:r>
      <w:r w:rsidR="00A250B3" w:rsidRPr="00A8263D">
        <w:rPr>
          <w:rFonts w:ascii="Arial Nova Light" w:hAnsi="Arial Nova Light" w:cs="Arial"/>
          <w:b w:val="0"/>
          <w:bCs w:val="0"/>
          <w:sz w:val="22"/>
          <w:szCs w:val="22"/>
        </w:rPr>
        <w:t xml:space="preserve">pertanto </w:t>
      </w:r>
      <w:r w:rsidRPr="00A8263D">
        <w:rPr>
          <w:rFonts w:ascii="Arial Nova Light" w:hAnsi="Arial Nova Light" w:cs="Arial"/>
          <w:b w:val="0"/>
          <w:bCs w:val="0"/>
          <w:sz w:val="22"/>
          <w:szCs w:val="22"/>
        </w:rPr>
        <w:t xml:space="preserve">quella </w:t>
      </w:r>
      <w:r w:rsidR="00A250B3" w:rsidRPr="00A8263D">
        <w:rPr>
          <w:rFonts w:ascii="Arial Nova Light" w:hAnsi="Arial Nova Light" w:cs="Arial"/>
          <w:b w:val="0"/>
          <w:bCs w:val="0"/>
          <w:sz w:val="22"/>
          <w:szCs w:val="22"/>
        </w:rPr>
        <w:t xml:space="preserve">di istituire un assetto organizzativo, contabile e amministrativo adeguato con lo scopo di verificare </w:t>
      </w:r>
      <w:r w:rsidRPr="00A8263D">
        <w:rPr>
          <w:rFonts w:ascii="Arial Nova Light" w:hAnsi="Arial Nova Light" w:cs="Arial"/>
          <w:b w:val="0"/>
          <w:bCs w:val="0"/>
          <w:sz w:val="22"/>
          <w:szCs w:val="22"/>
        </w:rPr>
        <w:t xml:space="preserve">l’esistenza di indizi di crisi e </w:t>
      </w:r>
      <w:r w:rsidR="00A250B3" w:rsidRPr="00A8263D">
        <w:rPr>
          <w:rFonts w:ascii="Arial Nova Light" w:hAnsi="Arial Nova Light" w:cs="Arial"/>
          <w:b w:val="0"/>
          <w:bCs w:val="0"/>
          <w:sz w:val="22"/>
          <w:szCs w:val="22"/>
        </w:rPr>
        <w:t>le prospettive di continuità aziendale.</w:t>
      </w:r>
    </w:p>
    <w:p w14:paraId="2AFFD73E" w14:textId="77777777" w:rsidR="00A250B3" w:rsidRPr="00A8263D" w:rsidRDefault="00A250B3" w:rsidP="00A250B3">
      <w:pPr>
        <w:pStyle w:val="Titolo"/>
        <w:ind w:left="0" w:right="-1"/>
        <w:rPr>
          <w:rFonts w:ascii="Arial Nova Light" w:hAnsi="Arial Nova Light" w:cs="Arial"/>
          <w:b w:val="0"/>
          <w:bCs w:val="0"/>
          <w:sz w:val="22"/>
          <w:szCs w:val="22"/>
        </w:rPr>
      </w:pPr>
    </w:p>
    <w:p w14:paraId="33F12643" w14:textId="50E61034" w:rsidR="00A250B3" w:rsidRPr="00A8263D" w:rsidRDefault="00A250B3" w:rsidP="00A250B3">
      <w:pPr>
        <w:pStyle w:val="Titolo"/>
        <w:ind w:left="0" w:right="-1"/>
        <w:rPr>
          <w:rFonts w:ascii="Arial Nova Light" w:hAnsi="Arial Nova Light" w:cs="Arial"/>
          <w:b w:val="0"/>
          <w:bCs w:val="0"/>
          <w:sz w:val="22"/>
          <w:szCs w:val="22"/>
        </w:rPr>
      </w:pPr>
      <w:r w:rsidRPr="00A8263D">
        <w:rPr>
          <w:rFonts w:ascii="Arial Nova Light" w:hAnsi="Arial Nova Light" w:cs="Arial"/>
          <w:b w:val="0"/>
          <w:bCs w:val="0"/>
          <w:sz w:val="22"/>
          <w:szCs w:val="22"/>
        </w:rPr>
        <w:t xml:space="preserve">Per poterVi assistere al meglio in questa verifica il nostro </w:t>
      </w:r>
      <w:r w:rsidR="00A8263D" w:rsidRPr="00A8263D">
        <w:rPr>
          <w:rFonts w:ascii="Arial Nova Light" w:hAnsi="Arial Nova Light" w:cs="Arial"/>
          <w:b w:val="0"/>
          <w:bCs w:val="0"/>
          <w:sz w:val="22"/>
          <w:szCs w:val="22"/>
        </w:rPr>
        <w:t xml:space="preserve">network </w:t>
      </w:r>
      <w:r w:rsidRPr="00A8263D">
        <w:rPr>
          <w:rFonts w:ascii="Arial Nova Light" w:hAnsi="Arial Nova Light" w:cs="Arial"/>
          <w:b w:val="0"/>
          <w:bCs w:val="0"/>
          <w:sz w:val="22"/>
          <w:szCs w:val="22"/>
        </w:rPr>
        <w:t xml:space="preserve">mette a disposizione una consulenza specifica con il supporto di un software realizzato </w:t>
      </w:r>
      <w:r w:rsidRPr="00A8263D">
        <w:rPr>
          <w:rFonts w:ascii="Arial Nova Light" w:hAnsi="Arial Nova Light" w:cs="Arial"/>
          <w:b w:val="0"/>
          <w:bCs w:val="0"/>
          <w:i/>
          <w:iCs/>
          <w:sz w:val="22"/>
          <w:szCs w:val="22"/>
        </w:rPr>
        <w:t>ad hoc</w:t>
      </w:r>
      <w:r w:rsidRPr="00A8263D">
        <w:rPr>
          <w:rFonts w:ascii="Arial Nova Light" w:hAnsi="Arial Nova Light" w:cs="Arial"/>
          <w:b w:val="0"/>
          <w:bCs w:val="0"/>
          <w:sz w:val="22"/>
          <w:szCs w:val="22"/>
        </w:rPr>
        <w:t xml:space="preserve"> denominato </w:t>
      </w:r>
      <w:r w:rsidRPr="00A8263D">
        <w:rPr>
          <w:rFonts w:ascii="Arial Nova Light" w:hAnsi="Arial Nova Light" w:cs="Arial"/>
          <w:sz w:val="22"/>
          <w:szCs w:val="22"/>
        </w:rPr>
        <w:t>Cruscotto di Controllo</w:t>
      </w:r>
      <w:r w:rsidRPr="00A8263D">
        <w:rPr>
          <w:rFonts w:ascii="Arial Nova Light" w:hAnsi="Arial Nova Light" w:cs="Arial"/>
          <w:b w:val="0"/>
          <w:bCs w:val="0"/>
          <w:sz w:val="22"/>
          <w:szCs w:val="22"/>
        </w:rPr>
        <w:t xml:space="preserve"> in grado di misurare la salute e la continuità aziendale nel pieno rispetto delle prescrizioni dell’art 2086 c.c. </w:t>
      </w:r>
    </w:p>
    <w:p w14:paraId="4555AFC8" w14:textId="77777777" w:rsidR="00A250B3" w:rsidRPr="00A8263D" w:rsidRDefault="00A250B3" w:rsidP="00A250B3">
      <w:pPr>
        <w:pStyle w:val="Titolo"/>
        <w:ind w:left="0" w:right="-1"/>
        <w:rPr>
          <w:rFonts w:ascii="Arial Nova Light" w:hAnsi="Arial Nova Light" w:cs="Arial"/>
          <w:b w:val="0"/>
          <w:bCs w:val="0"/>
          <w:sz w:val="22"/>
          <w:szCs w:val="22"/>
        </w:rPr>
      </w:pPr>
      <w:r w:rsidRPr="00A8263D">
        <w:rPr>
          <w:rFonts w:ascii="Arial Nova Light" w:hAnsi="Arial Nova Light" w:cs="Arial"/>
          <w:b w:val="0"/>
          <w:bCs w:val="0"/>
          <w:sz w:val="22"/>
          <w:szCs w:val="22"/>
        </w:rPr>
        <w:t>Il Cruscotto consente senza grandi sforzi organizzativi di valutare l’adeguatezza della strategia aziendale e garantire il monitoraggio degli assetti secondo quattro diverse prospettive:</w:t>
      </w:r>
    </w:p>
    <w:p w14:paraId="03456486" w14:textId="77777777" w:rsidR="00A250B3" w:rsidRPr="00A8263D" w:rsidRDefault="00A250B3" w:rsidP="00A250B3">
      <w:pPr>
        <w:pStyle w:val="Titolo"/>
        <w:ind w:left="0" w:right="-1"/>
        <w:rPr>
          <w:rFonts w:ascii="Arial Nova Light" w:hAnsi="Arial Nova Light" w:cs="Arial"/>
          <w:b w:val="0"/>
          <w:bCs w:val="0"/>
          <w:sz w:val="22"/>
          <w:szCs w:val="22"/>
        </w:rPr>
      </w:pPr>
    </w:p>
    <w:p w14:paraId="182E2C7E" w14:textId="77777777" w:rsidR="00A250B3" w:rsidRPr="00A8263D" w:rsidRDefault="00A250B3" w:rsidP="00A250B3">
      <w:pPr>
        <w:pStyle w:val="Titolo"/>
        <w:widowControl/>
        <w:numPr>
          <w:ilvl w:val="0"/>
          <w:numId w:val="20"/>
        </w:numPr>
        <w:ind w:left="993" w:right="-1"/>
        <w:rPr>
          <w:rFonts w:ascii="Arial Nova Light" w:hAnsi="Arial Nova Light" w:cs="Arial"/>
          <w:b w:val="0"/>
          <w:bCs w:val="0"/>
          <w:sz w:val="22"/>
          <w:szCs w:val="22"/>
        </w:rPr>
      </w:pPr>
      <w:r w:rsidRPr="00A8263D">
        <w:rPr>
          <w:rFonts w:ascii="Arial Nova Light" w:hAnsi="Arial Nova Light" w:cs="Arial"/>
          <w:b w:val="0"/>
          <w:bCs w:val="0"/>
          <w:sz w:val="22"/>
          <w:szCs w:val="22"/>
        </w:rPr>
        <w:t>Prospettiva Economico-Finanziaria</w:t>
      </w:r>
    </w:p>
    <w:p w14:paraId="3E6DA003" w14:textId="77777777" w:rsidR="00A250B3" w:rsidRPr="00A8263D" w:rsidRDefault="00A250B3" w:rsidP="00A250B3">
      <w:pPr>
        <w:pStyle w:val="Titolo"/>
        <w:widowControl/>
        <w:numPr>
          <w:ilvl w:val="0"/>
          <w:numId w:val="20"/>
        </w:numPr>
        <w:ind w:left="993" w:right="-1"/>
        <w:rPr>
          <w:rFonts w:ascii="Arial Nova Light" w:hAnsi="Arial Nova Light" w:cs="Arial"/>
          <w:b w:val="0"/>
          <w:bCs w:val="0"/>
          <w:sz w:val="22"/>
          <w:szCs w:val="22"/>
        </w:rPr>
      </w:pPr>
      <w:r w:rsidRPr="00A8263D">
        <w:rPr>
          <w:rFonts w:ascii="Arial Nova Light" w:hAnsi="Arial Nova Light" w:cs="Arial"/>
          <w:b w:val="0"/>
          <w:bCs w:val="0"/>
          <w:sz w:val="22"/>
          <w:szCs w:val="22"/>
        </w:rPr>
        <w:t>Prospettiva della Clientela</w:t>
      </w:r>
    </w:p>
    <w:p w14:paraId="0EA07373" w14:textId="77777777" w:rsidR="00A250B3" w:rsidRPr="00A8263D" w:rsidRDefault="00A250B3" w:rsidP="00A250B3">
      <w:pPr>
        <w:pStyle w:val="Titolo"/>
        <w:widowControl/>
        <w:numPr>
          <w:ilvl w:val="0"/>
          <w:numId w:val="20"/>
        </w:numPr>
        <w:ind w:left="993" w:right="-1"/>
        <w:rPr>
          <w:rFonts w:ascii="Arial Nova Light" w:hAnsi="Arial Nova Light" w:cs="Arial"/>
          <w:b w:val="0"/>
          <w:bCs w:val="0"/>
          <w:sz w:val="22"/>
          <w:szCs w:val="22"/>
        </w:rPr>
      </w:pPr>
      <w:r w:rsidRPr="00A8263D">
        <w:rPr>
          <w:rFonts w:ascii="Arial Nova Light" w:hAnsi="Arial Nova Light" w:cs="Arial"/>
          <w:b w:val="0"/>
          <w:bCs w:val="0"/>
          <w:sz w:val="22"/>
          <w:szCs w:val="22"/>
        </w:rPr>
        <w:lastRenderedPageBreak/>
        <w:t>Prospettiva dei Processi Aziendali</w:t>
      </w:r>
    </w:p>
    <w:p w14:paraId="3C79CCE2" w14:textId="77777777" w:rsidR="00A250B3" w:rsidRPr="00A8263D" w:rsidRDefault="00A250B3" w:rsidP="00A250B3">
      <w:pPr>
        <w:pStyle w:val="Titolo"/>
        <w:widowControl/>
        <w:numPr>
          <w:ilvl w:val="0"/>
          <w:numId w:val="20"/>
        </w:numPr>
        <w:ind w:left="993" w:right="-1"/>
        <w:rPr>
          <w:rFonts w:ascii="Arial Nova Light" w:hAnsi="Arial Nova Light" w:cs="Arial"/>
          <w:b w:val="0"/>
          <w:bCs w:val="0"/>
          <w:sz w:val="22"/>
          <w:szCs w:val="22"/>
        </w:rPr>
      </w:pPr>
      <w:r w:rsidRPr="00A8263D">
        <w:rPr>
          <w:rFonts w:ascii="Arial Nova Light" w:hAnsi="Arial Nova Light" w:cs="Arial"/>
          <w:b w:val="0"/>
          <w:bCs w:val="0"/>
          <w:sz w:val="22"/>
          <w:szCs w:val="22"/>
        </w:rPr>
        <w:t xml:space="preserve">Prospettiva dell’Apprendimento e Crescita (il “know </w:t>
      </w:r>
      <w:proofErr w:type="spellStart"/>
      <w:r w:rsidRPr="00A8263D">
        <w:rPr>
          <w:rFonts w:ascii="Arial Nova Light" w:hAnsi="Arial Nova Light" w:cs="Arial"/>
          <w:b w:val="0"/>
          <w:bCs w:val="0"/>
          <w:sz w:val="22"/>
          <w:szCs w:val="22"/>
        </w:rPr>
        <w:t>how</w:t>
      </w:r>
      <w:proofErr w:type="spellEnd"/>
      <w:r w:rsidRPr="00A8263D">
        <w:rPr>
          <w:rFonts w:ascii="Arial Nova Light" w:hAnsi="Arial Nova Light" w:cs="Arial"/>
          <w:b w:val="0"/>
          <w:bCs w:val="0"/>
          <w:sz w:val="22"/>
          <w:szCs w:val="22"/>
        </w:rPr>
        <w:t>” diffuso in azienda)</w:t>
      </w:r>
    </w:p>
    <w:p w14:paraId="27B5C63B" w14:textId="77777777" w:rsidR="00A250B3" w:rsidRPr="00A8263D" w:rsidRDefault="00A250B3" w:rsidP="00A250B3">
      <w:pPr>
        <w:pStyle w:val="Titolo"/>
        <w:ind w:left="0" w:right="-1"/>
        <w:rPr>
          <w:rFonts w:ascii="Arial Nova Light" w:hAnsi="Arial Nova Light" w:cs="Arial"/>
          <w:b w:val="0"/>
          <w:bCs w:val="0"/>
          <w:sz w:val="22"/>
          <w:szCs w:val="22"/>
        </w:rPr>
      </w:pPr>
    </w:p>
    <w:p w14:paraId="03828DE5" w14:textId="77777777" w:rsidR="00A250B3" w:rsidRPr="00A8263D" w:rsidRDefault="00A250B3" w:rsidP="00A250B3">
      <w:pPr>
        <w:pStyle w:val="Titolo"/>
        <w:ind w:left="0" w:right="-1"/>
        <w:rPr>
          <w:rFonts w:ascii="Arial Nova Light" w:hAnsi="Arial Nova Light" w:cs="Arial"/>
          <w:b w:val="0"/>
          <w:bCs w:val="0"/>
          <w:sz w:val="22"/>
          <w:szCs w:val="22"/>
        </w:rPr>
      </w:pPr>
      <w:r w:rsidRPr="00A8263D">
        <w:rPr>
          <w:rFonts w:ascii="Arial Nova Light" w:hAnsi="Arial Nova Light" w:cs="Arial"/>
          <w:b w:val="0"/>
          <w:bCs w:val="0"/>
          <w:sz w:val="22"/>
          <w:szCs w:val="22"/>
        </w:rPr>
        <w:t>Per vostra opportuna conoscenza, segnaliamo che i costi per l’introduzione in azienda di strumenti come il Cruscotto di Controllo possono essere coperti da voucher e contributi a fondo perduto assegnati da diverse Camere di Commercio oppure dalle normative per la Formazione Finanziata.</w:t>
      </w:r>
    </w:p>
    <w:p w14:paraId="428A301B" w14:textId="77777777" w:rsidR="00A250B3" w:rsidRPr="00A8263D" w:rsidRDefault="00A250B3" w:rsidP="00A250B3">
      <w:pPr>
        <w:pStyle w:val="Titolo"/>
        <w:ind w:left="0" w:right="-1"/>
        <w:rPr>
          <w:rFonts w:ascii="Arial Nova Light" w:hAnsi="Arial Nova Light" w:cs="Arial"/>
          <w:b w:val="0"/>
          <w:bCs w:val="0"/>
          <w:sz w:val="22"/>
          <w:szCs w:val="22"/>
        </w:rPr>
      </w:pPr>
    </w:p>
    <w:p w14:paraId="178A3CE7" w14:textId="4E307623" w:rsidR="00A8263D" w:rsidRPr="00A8263D" w:rsidRDefault="00A8263D" w:rsidP="00A250B3">
      <w:pPr>
        <w:ind w:right="-1"/>
        <w:rPr>
          <w:rFonts w:ascii="Arial Nova Light" w:hAnsi="Arial Nova Light"/>
        </w:rPr>
      </w:pPr>
      <w:r w:rsidRPr="00A8263D">
        <w:rPr>
          <w:rFonts w:ascii="Arial Nova Light" w:hAnsi="Arial Nova Light"/>
        </w:rPr>
        <w:t>Per meglio comprendere la valenza dello strumento, facciamo seguire un esempio di Cruscotto riferito ad un’azienda del settore manifatturiero meccanico.</w:t>
      </w:r>
    </w:p>
    <w:p w14:paraId="4EF3BFB1" w14:textId="5D4804B8" w:rsidR="00A8263D" w:rsidRPr="00A8263D" w:rsidRDefault="00A8263D" w:rsidP="00A250B3">
      <w:pPr>
        <w:ind w:right="-1"/>
        <w:rPr>
          <w:rFonts w:ascii="Arial Nova Light" w:hAnsi="Arial Nova Light"/>
        </w:rPr>
      </w:pPr>
      <w:r w:rsidRPr="00A8263D">
        <w:rPr>
          <w:rFonts w:ascii="Arial Nova Light" w:hAnsi="Arial Nova Light"/>
        </w:rPr>
        <w:t>Restiamo naturalmente a disposizione ai recapiti sotto indicati per analizzare casi specifici.</w:t>
      </w:r>
    </w:p>
    <w:p w14:paraId="60658854" w14:textId="77777777" w:rsidR="00A8263D" w:rsidRPr="00A8263D" w:rsidRDefault="00A8263D" w:rsidP="00A250B3">
      <w:pPr>
        <w:ind w:right="-1"/>
        <w:rPr>
          <w:rFonts w:ascii="Arial Nova Light" w:hAnsi="Arial Nova Light"/>
        </w:rPr>
      </w:pPr>
    </w:p>
    <w:p w14:paraId="5700EDC4" w14:textId="0E70D885" w:rsidR="00E30B72" w:rsidRDefault="00E30B72">
      <w:pPr>
        <w:rPr>
          <w:rFonts w:ascii="Arial Nova Light" w:hAnsi="Arial Nova Light"/>
        </w:rPr>
      </w:pPr>
      <w:r>
        <w:rPr>
          <w:rFonts w:ascii="Arial Nova Light" w:hAnsi="Arial Nova Light"/>
        </w:rPr>
        <w:br w:type="page"/>
      </w:r>
    </w:p>
    <w:p w14:paraId="1A2F2017" w14:textId="2DC2F576" w:rsidR="00A8263D" w:rsidRDefault="00E87867" w:rsidP="00A250B3">
      <w:pPr>
        <w:ind w:right="-1"/>
        <w:rPr>
          <w:rFonts w:ascii="Arial Nova Light" w:hAnsi="Arial Nova Light"/>
        </w:rPr>
      </w:pPr>
      <w:r>
        <w:rPr>
          <w:rStyle w:val="infohead"/>
          <w:rFonts w:eastAsiaTheme="minorHAnsi"/>
          <w:noProof/>
        </w:rPr>
        <w:lastRenderedPageBreak/>
        <w:drawing>
          <wp:anchor distT="0" distB="0" distL="114300" distR="114300" simplePos="0" relativeHeight="251661312" behindDoc="1" locked="0" layoutInCell="1" allowOverlap="1" wp14:anchorId="13B2AAB4" wp14:editId="771F2581">
            <wp:simplePos x="0" y="0"/>
            <wp:positionH relativeFrom="column">
              <wp:posOffset>5417820</wp:posOffset>
            </wp:positionH>
            <wp:positionV relativeFrom="paragraph">
              <wp:posOffset>-58294</wp:posOffset>
            </wp:positionV>
            <wp:extent cx="1403088" cy="472440"/>
            <wp:effectExtent l="0" t="0" r="6985" b="3810"/>
            <wp:wrapNone/>
            <wp:docPr id="187699877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088" cy="4724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7F79920" wp14:editId="40BA039E">
            <wp:simplePos x="0" y="0"/>
            <wp:positionH relativeFrom="column">
              <wp:posOffset>0</wp:posOffset>
            </wp:positionH>
            <wp:positionV relativeFrom="paragraph">
              <wp:posOffset>0</wp:posOffset>
            </wp:positionV>
            <wp:extent cx="1525014" cy="412115"/>
            <wp:effectExtent l="0" t="0" r="0" b="0"/>
            <wp:wrapNone/>
            <wp:docPr id="2561630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63090" name="Immagine 2561630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5014" cy="412115"/>
                    </a:xfrm>
                    <a:prstGeom prst="rect">
                      <a:avLst/>
                    </a:prstGeom>
                  </pic:spPr>
                </pic:pic>
              </a:graphicData>
            </a:graphic>
          </wp:anchor>
        </w:drawing>
      </w:r>
    </w:p>
    <w:p w14:paraId="509DF7C9" w14:textId="21A2A19F" w:rsidR="00E87867" w:rsidRDefault="00E87867" w:rsidP="00E30B72">
      <w:pPr>
        <w:pStyle w:val="headercal1"/>
        <w:rPr>
          <w:rStyle w:val="headercal"/>
        </w:rPr>
      </w:pPr>
    </w:p>
    <w:p w14:paraId="10352280" w14:textId="77777777" w:rsidR="00E87867" w:rsidRDefault="00E87867" w:rsidP="00E30B72">
      <w:pPr>
        <w:pStyle w:val="headercal1"/>
        <w:rPr>
          <w:rStyle w:val="headercal"/>
        </w:rPr>
      </w:pPr>
    </w:p>
    <w:p w14:paraId="0CA79583" w14:textId="5737BC06" w:rsidR="00E30B72" w:rsidRPr="00666D14" w:rsidRDefault="00E30B72" w:rsidP="00E30B72">
      <w:pPr>
        <w:pStyle w:val="headercal1"/>
        <w:rPr>
          <w:b/>
          <w:bCs/>
        </w:rPr>
      </w:pPr>
      <w:r w:rsidRPr="00666D14">
        <w:rPr>
          <w:rStyle w:val="headercal"/>
          <w:b/>
          <w:bCs/>
        </w:rPr>
        <w:t>Report del Cruscotto di Controllo</w:t>
      </w:r>
    </w:p>
    <w:p w14:paraId="141F79D1" w14:textId="77777777" w:rsidR="00E30B72" w:rsidRDefault="00E30B72" w:rsidP="00E30B72">
      <w:pPr>
        <w:pStyle w:val="headercal1"/>
        <w:rPr>
          <w:rStyle w:val="headersecond"/>
        </w:rPr>
      </w:pPr>
      <w:r>
        <w:rPr>
          <w:rStyle w:val="headersecond"/>
        </w:rPr>
        <w:t>Misurazione della permanenza in azienda della Continuità Aziendale</w:t>
      </w:r>
    </w:p>
    <w:p w14:paraId="1690F562" w14:textId="77777777" w:rsidR="00E30B72" w:rsidRDefault="00E30B72" w:rsidP="00E30B72">
      <w:pPr>
        <w:pStyle w:val="headercal1"/>
      </w:pPr>
      <w:r>
        <w:rPr>
          <w:rStyle w:val="headersecond"/>
        </w:rPr>
        <w:t>ex Art. 2086 2` Comma Codice Civile</w:t>
      </w:r>
    </w:p>
    <w:p w14:paraId="52227BC1" w14:textId="77777777" w:rsidR="00E30B72" w:rsidRDefault="00E30B72" w:rsidP="00E30B72">
      <w:pPr>
        <w:rPr>
          <w:rStyle w:val="infohead"/>
          <w:rFonts w:eastAsiaTheme="minorHAnsi"/>
        </w:rPr>
      </w:pPr>
    </w:p>
    <w:p w14:paraId="0FF27C13" w14:textId="77777777" w:rsidR="00E30B72" w:rsidRDefault="00E30B72" w:rsidP="00E30B72">
      <w:r>
        <w:rPr>
          <w:rStyle w:val="infohead"/>
          <w:rFonts w:eastAsiaTheme="minorHAnsi"/>
        </w:rPr>
        <w:t>Cliente: Test A</w:t>
      </w:r>
    </w:p>
    <w:p w14:paraId="648E9A06" w14:textId="77777777" w:rsidR="00E30B72" w:rsidRDefault="00E30B72" w:rsidP="00E30B72">
      <w:r>
        <w:rPr>
          <w:rStyle w:val="infohead"/>
          <w:rFonts w:eastAsiaTheme="minorHAnsi"/>
        </w:rPr>
        <w:t>Periodo di riferimento: 7-2023</w:t>
      </w:r>
    </w:p>
    <w:p w14:paraId="4DB7D010" w14:textId="77777777" w:rsidR="00E30B72" w:rsidRDefault="00E30B72" w:rsidP="00E30B72">
      <w:pPr>
        <w:rPr>
          <w:rStyle w:val="infohead"/>
          <w:rFonts w:eastAsiaTheme="minorHAnsi"/>
        </w:rPr>
      </w:pPr>
      <w:r>
        <w:rPr>
          <w:rStyle w:val="infohead"/>
          <w:rFonts w:eastAsiaTheme="minorHAnsi"/>
        </w:rPr>
        <w:t>Tipologia del cruscotto: generico – produzione macchinari industriali</w:t>
      </w:r>
    </w:p>
    <w:p w14:paraId="1FB5E7A2" w14:textId="77777777" w:rsidR="00E30B72" w:rsidRDefault="00E30B72" w:rsidP="00E30B72">
      <w:pPr>
        <w:rPr>
          <w:rStyle w:val="infohead"/>
          <w:rFonts w:eastAsiaTheme="minorHAnsi"/>
        </w:rPr>
      </w:pPr>
    </w:p>
    <w:p w14:paraId="2083E1F5" w14:textId="77777777" w:rsidR="00E30B72" w:rsidRDefault="00E30B72" w:rsidP="00E30B72"/>
    <w:p w14:paraId="7E803F01" w14:textId="77777777" w:rsidR="00E30B72" w:rsidRDefault="00E30B72" w:rsidP="00E30B72">
      <w:pPr>
        <w:pStyle w:val="headercal1"/>
      </w:pPr>
      <w:r>
        <w:rPr>
          <w:rStyle w:val="headersecond"/>
        </w:rPr>
        <w:t xml:space="preserve">Stato di salute generale </w:t>
      </w:r>
      <w:proofErr w:type="gramStart"/>
      <w:r>
        <w:rPr>
          <w:rStyle w:val="headersecond"/>
        </w:rPr>
        <w:t>dell`azienda</w:t>
      </w:r>
      <w:proofErr w:type="gramEnd"/>
    </w:p>
    <w:p w14:paraId="18FE02C0" w14:textId="77777777" w:rsidR="00E30B72" w:rsidRDefault="00E30B72" w:rsidP="00E30B72">
      <w:pPr>
        <w:pStyle w:val="headercal1"/>
      </w:pPr>
      <w:r>
        <w:rPr>
          <w:color w:val="FFA500"/>
          <w:sz w:val="70"/>
          <w:szCs w:val="70"/>
        </w:rPr>
        <w:t>59%</w:t>
      </w:r>
    </w:p>
    <w:p w14:paraId="63BC3D1D" w14:textId="77777777" w:rsidR="00E30B72" w:rsidRPr="00236F70" w:rsidRDefault="00E30B72" w:rsidP="00E30B72">
      <w:pPr>
        <w:pStyle w:val="pStyle"/>
        <w:rPr>
          <w:color w:val="C45911" w:themeColor="accent2" w:themeShade="BF"/>
        </w:rPr>
      </w:pPr>
      <w:r w:rsidRPr="00236F70">
        <w:rPr>
          <w:b/>
          <w:bCs/>
          <w:color w:val="C45911" w:themeColor="accent2" w:themeShade="BF"/>
        </w:rPr>
        <w:t>La tua azienda presenta delle criticità!</w:t>
      </w:r>
    </w:p>
    <w:p w14:paraId="478178AC" w14:textId="77777777" w:rsidR="00E30B72" w:rsidRPr="00236F70" w:rsidRDefault="00E30B72" w:rsidP="00E30B72">
      <w:pPr>
        <w:pStyle w:val="pStyle"/>
        <w:rPr>
          <w:b/>
          <w:bCs/>
          <w:color w:val="C45911" w:themeColor="accent2" w:themeShade="BF"/>
        </w:rPr>
      </w:pPr>
      <w:r w:rsidRPr="00236F70">
        <w:rPr>
          <w:b/>
          <w:bCs/>
          <w:color w:val="C45911" w:themeColor="accent2" w:themeShade="BF"/>
        </w:rPr>
        <w:t xml:space="preserve">Limiti di cui ai seguenti articoli: 2086 II c. C.C., art. 3 III c, art. 25 </w:t>
      </w:r>
      <w:proofErr w:type="spellStart"/>
      <w:r w:rsidRPr="00236F70">
        <w:rPr>
          <w:b/>
          <w:bCs/>
          <w:color w:val="C45911" w:themeColor="accent2" w:themeShade="BF"/>
        </w:rPr>
        <w:t>octies</w:t>
      </w:r>
      <w:proofErr w:type="spellEnd"/>
      <w:r w:rsidRPr="00236F70">
        <w:rPr>
          <w:b/>
          <w:bCs/>
          <w:color w:val="C45911" w:themeColor="accent2" w:themeShade="BF"/>
        </w:rPr>
        <w:t xml:space="preserve"> D. Lgs. 14/2019 a rischio!</w:t>
      </w:r>
    </w:p>
    <w:p w14:paraId="4CFF30FB" w14:textId="77777777" w:rsidR="00E30B72" w:rsidRPr="00236F70" w:rsidRDefault="00E30B72" w:rsidP="00E30B72">
      <w:pPr>
        <w:pStyle w:val="pStyle"/>
        <w:rPr>
          <w:color w:val="C45911" w:themeColor="accent2" w:themeShade="BF"/>
          <w:sz w:val="24"/>
          <w:szCs w:val="24"/>
        </w:rPr>
      </w:pPr>
      <w:r w:rsidRPr="00236F70">
        <w:rPr>
          <w:b/>
          <w:bCs/>
          <w:color w:val="C45911" w:themeColor="accent2" w:themeShade="BF"/>
          <w:sz w:val="24"/>
          <w:szCs w:val="24"/>
        </w:rPr>
        <w:t>La tua azienda è al limite per l’obbligo dell’allertamento</w:t>
      </w:r>
    </w:p>
    <w:p w14:paraId="7506E67F" w14:textId="77777777" w:rsidR="00E30B72" w:rsidRDefault="00E30B72" w:rsidP="00E30B72">
      <w:r>
        <w:rPr>
          <w:noProof/>
        </w:rPr>
        <w:drawing>
          <wp:inline distT="0" distB="0" distL="0" distR="0" wp14:anchorId="2EF740CE" wp14:editId="5E7DDCBA">
            <wp:extent cx="6480000" cy="3420000"/>
            <wp:effectExtent l="0" t="0" r="0" b="0"/>
            <wp:docPr id="14" name="Char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C583C2" w14:textId="77777777" w:rsidR="00E30B72" w:rsidRDefault="00E30B72" w:rsidP="00E30B72">
      <w:pPr>
        <w:sectPr w:rsidR="00E30B72">
          <w:footerReference w:type="default" r:id="rId11"/>
          <w:pgSz w:w="11905" w:h="16837"/>
          <w:pgMar w:top="1440" w:right="880" w:bottom="1440" w:left="880" w:header="720" w:footer="720" w:gutter="0"/>
          <w:cols w:space="720"/>
        </w:sectPr>
      </w:pPr>
    </w:p>
    <w:tbl>
      <w:tblPr>
        <w:tblW w:w="0" w:type="auto"/>
        <w:tblInd w:w="10" w:type="dxa"/>
        <w:tblCellMar>
          <w:left w:w="10" w:type="dxa"/>
          <w:right w:w="10" w:type="dxa"/>
        </w:tblCellMar>
        <w:tblLook w:val="0000" w:firstRow="0" w:lastRow="0" w:firstColumn="0" w:lastColumn="0" w:noHBand="0" w:noVBand="0"/>
      </w:tblPr>
      <w:tblGrid>
        <w:gridCol w:w="5131"/>
        <w:gridCol w:w="2620"/>
        <w:gridCol w:w="2384"/>
      </w:tblGrid>
      <w:tr w:rsidR="00E30B72" w14:paraId="5AFCB96A" w14:textId="77777777" w:rsidTr="008477F9">
        <w:tc>
          <w:tcPr>
            <w:tcW w:w="9000" w:type="dxa"/>
          </w:tcPr>
          <w:p w14:paraId="485C796D" w14:textId="77777777" w:rsidR="00E30B72" w:rsidRDefault="00E30B72" w:rsidP="008477F9">
            <w:pPr>
              <w:spacing w:before="360" w:after="0"/>
              <w:ind w:left="540" w:right="120"/>
            </w:pPr>
            <w:r>
              <w:rPr>
                <w:sz w:val="34"/>
                <w:szCs w:val="34"/>
              </w:rPr>
              <w:lastRenderedPageBreak/>
              <w:t>Area finanziaria e economica</w:t>
            </w:r>
          </w:p>
        </w:tc>
        <w:tc>
          <w:tcPr>
            <w:tcW w:w="4000" w:type="dxa"/>
          </w:tcPr>
          <w:p w14:paraId="1EAB1D2C" w14:textId="77777777" w:rsidR="00E30B72" w:rsidRDefault="00E30B72" w:rsidP="008477F9">
            <w:pPr>
              <w:spacing w:before="360" w:after="0"/>
              <w:ind w:left="540" w:right="120"/>
            </w:pPr>
            <w:r w:rsidRPr="00236F70">
              <w:rPr>
                <w:color w:val="C45911" w:themeColor="accent2" w:themeShade="BF"/>
                <w:sz w:val="34"/>
                <w:szCs w:val="34"/>
              </w:rPr>
              <w:t>Critico 51%</w:t>
            </w:r>
          </w:p>
        </w:tc>
        <w:tc>
          <w:tcPr>
            <w:tcW w:w="4000" w:type="dxa"/>
          </w:tcPr>
          <w:p w14:paraId="258ADAE8" w14:textId="77777777" w:rsidR="00E30B72" w:rsidRDefault="00E30B72" w:rsidP="008477F9">
            <w:r>
              <w:rPr>
                <w:noProof/>
              </w:rPr>
              <w:drawing>
                <wp:inline distT="0" distB="0" distL="0" distR="0" wp14:anchorId="1D89A6C3" wp14:editId="44CF3C7D">
                  <wp:extent cx="720000" cy="720000"/>
                  <wp:effectExtent l="0" t="0" r="0" b="0"/>
                  <wp:docPr id="15" name="Char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tbl>
      <w:tblPr>
        <w:tblStyle w:val="Tabelle"/>
        <w:tblW w:w="0" w:type="auto"/>
        <w:tblInd w:w="0" w:type="dxa"/>
        <w:tblLook w:val="04A0" w:firstRow="1" w:lastRow="0" w:firstColumn="1" w:lastColumn="0" w:noHBand="0" w:noVBand="1"/>
      </w:tblPr>
      <w:tblGrid>
        <w:gridCol w:w="8285"/>
        <w:gridCol w:w="1858"/>
      </w:tblGrid>
      <w:tr w:rsidR="00E30B72" w14:paraId="35EF96C5" w14:textId="77777777" w:rsidTr="008477F9">
        <w:trPr>
          <w:cnfStyle w:val="100000000000" w:firstRow="1" w:lastRow="0" w:firstColumn="0" w:lastColumn="0" w:oddVBand="0" w:evenVBand="0" w:oddHBand="0" w:evenHBand="0" w:firstRowFirstColumn="0" w:firstRowLastColumn="0" w:lastRowFirstColumn="0" w:lastRowLastColumn="0"/>
        </w:trPr>
        <w:tc>
          <w:tcPr>
            <w:tcW w:w="9900" w:type="dxa"/>
          </w:tcPr>
          <w:p w14:paraId="2C620E1F" w14:textId="77777777" w:rsidR="00E30B72" w:rsidRDefault="00E30B72" w:rsidP="008477F9">
            <w:pPr>
              <w:spacing w:after="0"/>
              <w:jc w:val="center"/>
            </w:pPr>
            <w:r>
              <w:rPr>
                <w:b/>
                <w:bCs/>
              </w:rPr>
              <w:t>Campo</w:t>
            </w:r>
          </w:p>
        </w:tc>
        <w:tc>
          <w:tcPr>
            <w:tcW w:w="900" w:type="dxa"/>
          </w:tcPr>
          <w:p w14:paraId="48C48358" w14:textId="77777777" w:rsidR="00E30B72" w:rsidRDefault="00E30B72" w:rsidP="008477F9">
            <w:pPr>
              <w:spacing w:after="0"/>
              <w:jc w:val="center"/>
            </w:pPr>
            <w:r>
              <w:rPr>
                <w:b/>
                <w:bCs/>
              </w:rPr>
              <w:t>Valore</w:t>
            </w:r>
          </w:p>
        </w:tc>
      </w:tr>
      <w:tr w:rsidR="00E30B72" w14:paraId="1E281C7A" w14:textId="77777777" w:rsidTr="008477F9">
        <w:tc>
          <w:tcPr>
            <w:tcW w:w="2000" w:type="dxa"/>
          </w:tcPr>
          <w:p w14:paraId="4377C833" w14:textId="77777777" w:rsidR="00E30B72" w:rsidRDefault="00E30B72" w:rsidP="008477F9">
            <w:pPr>
              <w:spacing w:after="0"/>
            </w:pPr>
            <w:r>
              <w:t xml:space="preserve"> Reddito operativo (dato riportato a 12 mesi)</w:t>
            </w:r>
          </w:p>
        </w:tc>
        <w:tc>
          <w:tcPr>
            <w:tcW w:w="2000" w:type="dxa"/>
          </w:tcPr>
          <w:p w14:paraId="6548350D" w14:textId="77777777" w:rsidR="00E30B72" w:rsidRDefault="00E30B72" w:rsidP="008477F9">
            <w:pPr>
              <w:spacing w:after="0"/>
              <w:jc w:val="center"/>
            </w:pPr>
            <w:r>
              <w:t>58.971,43</w:t>
            </w:r>
          </w:p>
        </w:tc>
      </w:tr>
      <w:tr w:rsidR="00E30B72" w14:paraId="359057C4" w14:textId="77777777" w:rsidTr="008477F9">
        <w:tc>
          <w:tcPr>
            <w:tcW w:w="2000" w:type="dxa"/>
          </w:tcPr>
          <w:p w14:paraId="03D92541" w14:textId="77777777" w:rsidR="00E30B72" w:rsidRDefault="00E30B72" w:rsidP="008477F9">
            <w:pPr>
              <w:spacing w:after="0"/>
            </w:pPr>
            <w:r>
              <w:t xml:space="preserve"> Ricavi (dato riportato a 12 mesi)</w:t>
            </w:r>
          </w:p>
        </w:tc>
        <w:tc>
          <w:tcPr>
            <w:tcW w:w="2000" w:type="dxa"/>
          </w:tcPr>
          <w:p w14:paraId="3C76D32E" w14:textId="77777777" w:rsidR="00E30B72" w:rsidRDefault="00E30B72" w:rsidP="008477F9">
            <w:pPr>
              <w:spacing w:after="0"/>
              <w:jc w:val="center"/>
            </w:pPr>
            <w:r>
              <w:t>2.400.000,00</w:t>
            </w:r>
          </w:p>
        </w:tc>
      </w:tr>
      <w:tr w:rsidR="00E30B72" w14:paraId="21B2BA1F" w14:textId="77777777" w:rsidTr="008477F9">
        <w:tc>
          <w:tcPr>
            <w:tcW w:w="2000" w:type="dxa"/>
          </w:tcPr>
          <w:p w14:paraId="7D83BBB0" w14:textId="77777777" w:rsidR="00E30B72" w:rsidRDefault="00E30B72" w:rsidP="008477F9">
            <w:pPr>
              <w:spacing w:after="0"/>
            </w:pPr>
            <w:r>
              <w:t xml:space="preserve"> Capitale investito annuo</w:t>
            </w:r>
          </w:p>
        </w:tc>
        <w:tc>
          <w:tcPr>
            <w:tcW w:w="2000" w:type="dxa"/>
          </w:tcPr>
          <w:p w14:paraId="41C445B3" w14:textId="77777777" w:rsidR="00E30B72" w:rsidRDefault="00E30B72" w:rsidP="008477F9">
            <w:pPr>
              <w:spacing w:after="0"/>
              <w:jc w:val="center"/>
            </w:pPr>
            <w:r>
              <w:t>2.225.000,00</w:t>
            </w:r>
          </w:p>
        </w:tc>
      </w:tr>
      <w:tr w:rsidR="00E30B72" w14:paraId="6412B6CC" w14:textId="77777777" w:rsidTr="008477F9">
        <w:tc>
          <w:tcPr>
            <w:tcW w:w="2000" w:type="dxa"/>
          </w:tcPr>
          <w:p w14:paraId="609B05C9" w14:textId="77777777" w:rsidR="00E30B72" w:rsidRDefault="00E30B72" w:rsidP="008477F9">
            <w:pPr>
              <w:spacing w:after="0"/>
            </w:pPr>
            <w:r>
              <w:rPr>
                <w:b/>
                <w:bCs/>
              </w:rPr>
              <w:t xml:space="preserve"> ROS</w:t>
            </w:r>
          </w:p>
        </w:tc>
        <w:tc>
          <w:tcPr>
            <w:tcW w:w="2000" w:type="dxa"/>
          </w:tcPr>
          <w:p w14:paraId="3639D7A5" w14:textId="77777777" w:rsidR="00E30B72" w:rsidRDefault="00E30B72" w:rsidP="008477F9">
            <w:pPr>
              <w:spacing w:after="0"/>
              <w:jc w:val="center"/>
            </w:pPr>
            <w:r>
              <w:rPr>
                <w:b/>
                <w:bCs/>
              </w:rPr>
              <w:t>2%</w:t>
            </w:r>
          </w:p>
        </w:tc>
      </w:tr>
      <w:tr w:rsidR="00E30B72" w14:paraId="32D46B34" w14:textId="77777777" w:rsidTr="008477F9">
        <w:tc>
          <w:tcPr>
            <w:tcW w:w="2000" w:type="dxa"/>
          </w:tcPr>
          <w:p w14:paraId="3CFB927E" w14:textId="77777777" w:rsidR="00E30B72" w:rsidRDefault="00E30B72" w:rsidP="008477F9">
            <w:pPr>
              <w:spacing w:after="0"/>
            </w:pPr>
            <w:r>
              <w:rPr>
                <w:b/>
                <w:bCs/>
              </w:rPr>
              <w:t xml:space="preserve"> TOCI</w:t>
            </w:r>
          </w:p>
        </w:tc>
        <w:tc>
          <w:tcPr>
            <w:tcW w:w="2000" w:type="dxa"/>
          </w:tcPr>
          <w:p w14:paraId="1A2FB235" w14:textId="77777777" w:rsidR="00E30B72" w:rsidRDefault="00E30B72" w:rsidP="008477F9">
            <w:pPr>
              <w:spacing w:after="0"/>
              <w:jc w:val="center"/>
            </w:pPr>
            <w:r>
              <w:rPr>
                <w:b/>
                <w:bCs/>
              </w:rPr>
              <w:t>1,08</w:t>
            </w:r>
          </w:p>
        </w:tc>
      </w:tr>
      <w:tr w:rsidR="00E30B72" w14:paraId="3F3CEA4E" w14:textId="77777777" w:rsidTr="008477F9">
        <w:tc>
          <w:tcPr>
            <w:tcW w:w="2000" w:type="dxa"/>
          </w:tcPr>
          <w:p w14:paraId="1A217C77" w14:textId="77777777" w:rsidR="00E30B72" w:rsidRDefault="00E30B72" w:rsidP="008477F9">
            <w:r>
              <w:rPr>
                <w:b/>
                <w:bCs/>
              </w:rPr>
              <w:t xml:space="preserve"> ROI index</w:t>
            </w:r>
            <w:r>
              <w:t xml:space="preserve"> (giudizio sul livello di ROI in una scala da 0% a 100%)</w:t>
            </w:r>
          </w:p>
        </w:tc>
        <w:tc>
          <w:tcPr>
            <w:tcW w:w="2000" w:type="dxa"/>
          </w:tcPr>
          <w:p w14:paraId="11B09B27" w14:textId="77777777" w:rsidR="00E30B72" w:rsidRDefault="00E30B72" w:rsidP="008477F9">
            <w:pPr>
              <w:spacing w:after="0"/>
              <w:jc w:val="center"/>
            </w:pPr>
            <w:r>
              <w:rPr>
                <w:b/>
                <w:bCs/>
              </w:rPr>
              <w:t>19%</w:t>
            </w:r>
          </w:p>
        </w:tc>
      </w:tr>
    </w:tbl>
    <w:p w14:paraId="1EF58296" w14:textId="60973A17" w:rsidR="00E30B72" w:rsidRDefault="00E30B72" w:rsidP="00E30B72">
      <w:r>
        <w:rPr>
          <w:color w:val="FF0000"/>
        </w:rPr>
        <w:t xml:space="preserve">La tua azienda produce un reddito operativo complessivo troppo basso rispetto al capitale investito ed è in una grave situazione di crisi economica. Il Toci è positivo ma largamente insufficiente a compensare il bassissimo livello di ROS. Questo determina un reddito operativo complessivo troppo basso, devi migliorare la marginalità delle vendite, aumentando i prezzi o diminuendo i costi e </w:t>
      </w:r>
      <w:r w:rsidR="001B6827">
        <w:rPr>
          <w:color w:val="FF0000"/>
        </w:rPr>
        <w:t>contemporaneamente</w:t>
      </w:r>
      <w:r>
        <w:rPr>
          <w:color w:val="FF0000"/>
        </w:rPr>
        <w:t xml:space="preserve"> aumentare il loro volume.</w:t>
      </w:r>
    </w:p>
    <w:p w14:paraId="4B9F7C93" w14:textId="77777777" w:rsidR="00E30B72" w:rsidRDefault="00E30B72" w:rsidP="00E30B72"/>
    <w:tbl>
      <w:tblPr>
        <w:tblStyle w:val="Tabelle"/>
        <w:tblW w:w="0" w:type="auto"/>
        <w:tblInd w:w="0" w:type="dxa"/>
        <w:tblLook w:val="04A0" w:firstRow="1" w:lastRow="0" w:firstColumn="1" w:lastColumn="0" w:noHBand="0" w:noVBand="1"/>
      </w:tblPr>
      <w:tblGrid>
        <w:gridCol w:w="8323"/>
        <w:gridCol w:w="1820"/>
      </w:tblGrid>
      <w:tr w:rsidR="00E30B72" w14:paraId="35E62B35" w14:textId="77777777" w:rsidTr="008477F9">
        <w:trPr>
          <w:cnfStyle w:val="100000000000" w:firstRow="1" w:lastRow="0" w:firstColumn="0" w:lastColumn="0" w:oddVBand="0" w:evenVBand="0" w:oddHBand="0" w:evenHBand="0" w:firstRowFirstColumn="0" w:firstRowLastColumn="0" w:lastRowFirstColumn="0" w:lastRowLastColumn="0"/>
        </w:trPr>
        <w:tc>
          <w:tcPr>
            <w:tcW w:w="9900" w:type="dxa"/>
          </w:tcPr>
          <w:p w14:paraId="407AE334" w14:textId="77777777" w:rsidR="00E30B72" w:rsidRDefault="00E30B72" w:rsidP="008477F9">
            <w:pPr>
              <w:spacing w:after="0"/>
              <w:jc w:val="center"/>
            </w:pPr>
            <w:r>
              <w:rPr>
                <w:b/>
                <w:bCs/>
              </w:rPr>
              <w:t>Campo</w:t>
            </w:r>
          </w:p>
        </w:tc>
        <w:tc>
          <w:tcPr>
            <w:tcW w:w="900" w:type="dxa"/>
          </w:tcPr>
          <w:p w14:paraId="456B0686" w14:textId="77777777" w:rsidR="00E30B72" w:rsidRDefault="00E30B72" w:rsidP="008477F9">
            <w:pPr>
              <w:spacing w:after="0"/>
              <w:jc w:val="center"/>
            </w:pPr>
            <w:r>
              <w:rPr>
                <w:b/>
                <w:bCs/>
              </w:rPr>
              <w:t>Valore</w:t>
            </w:r>
          </w:p>
        </w:tc>
      </w:tr>
      <w:tr w:rsidR="00E30B72" w14:paraId="6E0019F0" w14:textId="77777777" w:rsidTr="008477F9">
        <w:tc>
          <w:tcPr>
            <w:tcW w:w="2000" w:type="dxa"/>
          </w:tcPr>
          <w:p w14:paraId="5A1452A4" w14:textId="77777777" w:rsidR="00E30B72" w:rsidRDefault="00E30B72" w:rsidP="008477F9">
            <w:pPr>
              <w:spacing w:after="0"/>
            </w:pPr>
            <w:r>
              <w:t xml:space="preserve"> Totale immobilizzazioni</w:t>
            </w:r>
          </w:p>
        </w:tc>
        <w:tc>
          <w:tcPr>
            <w:tcW w:w="2000" w:type="dxa"/>
          </w:tcPr>
          <w:p w14:paraId="58B334DE" w14:textId="77777777" w:rsidR="00E30B72" w:rsidRDefault="00E30B72" w:rsidP="008477F9">
            <w:pPr>
              <w:spacing w:after="0"/>
              <w:jc w:val="center"/>
            </w:pPr>
            <w:r>
              <w:t>104.000,00</w:t>
            </w:r>
          </w:p>
        </w:tc>
      </w:tr>
      <w:tr w:rsidR="00E30B72" w14:paraId="6F76DF60" w14:textId="77777777" w:rsidTr="008477F9">
        <w:tc>
          <w:tcPr>
            <w:tcW w:w="2000" w:type="dxa"/>
          </w:tcPr>
          <w:p w14:paraId="14EFFE9B" w14:textId="77777777" w:rsidR="00E30B72" w:rsidRDefault="00E30B72" w:rsidP="008477F9">
            <w:pPr>
              <w:spacing w:after="0"/>
            </w:pPr>
            <w:r>
              <w:t xml:space="preserve"> Crediti incagliati o oltre 12 mesi </w:t>
            </w:r>
          </w:p>
        </w:tc>
        <w:tc>
          <w:tcPr>
            <w:tcW w:w="2000" w:type="dxa"/>
          </w:tcPr>
          <w:p w14:paraId="560741DF" w14:textId="77777777" w:rsidR="00E30B72" w:rsidRDefault="00E30B72" w:rsidP="008477F9">
            <w:pPr>
              <w:spacing w:after="0"/>
              <w:jc w:val="center"/>
            </w:pPr>
            <w:r>
              <w:t>5.600,00</w:t>
            </w:r>
          </w:p>
        </w:tc>
      </w:tr>
      <w:tr w:rsidR="00E30B72" w14:paraId="55CC7E09" w14:textId="77777777" w:rsidTr="008477F9">
        <w:tc>
          <w:tcPr>
            <w:tcW w:w="2000" w:type="dxa"/>
          </w:tcPr>
          <w:p w14:paraId="3E645E23" w14:textId="77777777" w:rsidR="00E30B72" w:rsidRDefault="00E30B72" w:rsidP="008477F9">
            <w:pPr>
              <w:spacing w:after="0"/>
            </w:pPr>
            <w:r>
              <w:t xml:space="preserve"> Magazzino invendibile</w:t>
            </w:r>
          </w:p>
        </w:tc>
        <w:tc>
          <w:tcPr>
            <w:tcW w:w="2000" w:type="dxa"/>
          </w:tcPr>
          <w:p w14:paraId="2B7C2CB9" w14:textId="77777777" w:rsidR="00E30B72" w:rsidRDefault="00E30B72" w:rsidP="008477F9">
            <w:pPr>
              <w:spacing w:after="0"/>
              <w:jc w:val="center"/>
            </w:pPr>
            <w:r>
              <w:t>0,00</w:t>
            </w:r>
          </w:p>
        </w:tc>
      </w:tr>
      <w:tr w:rsidR="00E30B72" w14:paraId="5D2648CE" w14:textId="77777777" w:rsidTr="008477F9">
        <w:tc>
          <w:tcPr>
            <w:tcW w:w="2000" w:type="dxa"/>
          </w:tcPr>
          <w:p w14:paraId="210C0E64" w14:textId="77777777" w:rsidR="00E30B72" w:rsidRDefault="00E30B72" w:rsidP="008477F9">
            <w:pPr>
              <w:spacing w:after="0"/>
            </w:pPr>
            <w:r>
              <w:t xml:space="preserve"> Debiti verso terzi oltre 12 mesi </w:t>
            </w:r>
          </w:p>
        </w:tc>
        <w:tc>
          <w:tcPr>
            <w:tcW w:w="2000" w:type="dxa"/>
          </w:tcPr>
          <w:p w14:paraId="6690D41D" w14:textId="77777777" w:rsidR="00E30B72" w:rsidRDefault="00E30B72" w:rsidP="008477F9">
            <w:pPr>
              <w:spacing w:after="0"/>
              <w:jc w:val="center"/>
            </w:pPr>
            <w:r>
              <w:t>731.000,00</w:t>
            </w:r>
          </w:p>
        </w:tc>
      </w:tr>
      <w:tr w:rsidR="00E30B72" w14:paraId="7EDC5D5A" w14:textId="77777777" w:rsidTr="008477F9">
        <w:tc>
          <w:tcPr>
            <w:tcW w:w="2000" w:type="dxa"/>
          </w:tcPr>
          <w:p w14:paraId="20C3F2BC" w14:textId="77777777" w:rsidR="00E30B72" w:rsidRDefault="00E30B72" w:rsidP="008477F9">
            <w:pPr>
              <w:spacing w:after="0"/>
            </w:pPr>
            <w:r>
              <w:t xml:space="preserve"> Capitale proprio</w:t>
            </w:r>
          </w:p>
        </w:tc>
        <w:tc>
          <w:tcPr>
            <w:tcW w:w="2000" w:type="dxa"/>
          </w:tcPr>
          <w:p w14:paraId="1843DF5B" w14:textId="77777777" w:rsidR="00E30B72" w:rsidRDefault="00E30B72" w:rsidP="008477F9">
            <w:pPr>
              <w:spacing w:after="0"/>
              <w:jc w:val="center"/>
            </w:pPr>
            <w:r>
              <w:t>240.000,00</w:t>
            </w:r>
          </w:p>
        </w:tc>
      </w:tr>
      <w:tr w:rsidR="00E30B72" w14:paraId="568FDD7D" w14:textId="77777777" w:rsidTr="008477F9">
        <w:tc>
          <w:tcPr>
            <w:tcW w:w="2000" w:type="dxa"/>
          </w:tcPr>
          <w:p w14:paraId="66F647D8" w14:textId="77777777" w:rsidR="00E30B72" w:rsidRDefault="00E30B72" w:rsidP="008477F9">
            <w:pPr>
              <w:spacing w:after="0"/>
            </w:pPr>
            <w:r>
              <w:rPr>
                <w:b/>
                <w:bCs/>
              </w:rPr>
              <w:t xml:space="preserve"> INDICE DI SOLIDITÀ FINANZIARIA</w:t>
            </w:r>
          </w:p>
        </w:tc>
        <w:tc>
          <w:tcPr>
            <w:tcW w:w="2000" w:type="dxa"/>
          </w:tcPr>
          <w:p w14:paraId="112F16F1" w14:textId="77777777" w:rsidR="00E30B72" w:rsidRDefault="00E30B72" w:rsidP="008477F9">
            <w:pPr>
              <w:spacing w:after="0"/>
              <w:jc w:val="center"/>
            </w:pPr>
            <w:r>
              <w:rPr>
                <w:b/>
                <w:bCs/>
              </w:rPr>
              <w:t>100%</w:t>
            </w:r>
          </w:p>
        </w:tc>
      </w:tr>
    </w:tbl>
    <w:p w14:paraId="6830D841" w14:textId="77777777" w:rsidR="00E30B72" w:rsidRDefault="00E30B72" w:rsidP="00E30B72">
      <w:r>
        <w:rPr>
          <w:color w:val="008000"/>
        </w:rPr>
        <w:t>Le tue attività a breve termine coprono i debiti a breve termine!</w:t>
      </w:r>
    </w:p>
    <w:p w14:paraId="34E51945" w14:textId="77777777" w:rsidR="00E30B72" w:rsidRDefault="00E30B72" w:rsidP="00E30B72">
      <w:pPr>
        <w:pStyle w:val="pStyle"/>
      </w:pPr>
      <w:r>
        <w:rPr>
          <w:b/>
          <w:bCs/>
        </w:rPr>
        <w:t>Stato Patrimoniale Condensato</w:t>
      </w:r>
    </w:p>
    <w:p w14:paraId="540735DF" w14:textId="77777777" w:rsidR="00E30B72" w:rsidRDefault="00E30B72" w:rsidP="00E30B72">
      <w:r>
        <w:rPr>
          <w:noProof/>
        </w:rPr>
        <w:drawing>
          <wp:inline distT="0" distB="0" distL="0" distR="0" wp14:anchorId="5D506359" wp14:editId="7000224C">
            <wp:extent cx="6480000" cy="2700000"/>
            <wp:effectExtent l="0" t="0" r="0" b="0"/>
            <wp:docPr id="16" name="Char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W w:w="0" w:type="auto"/>
        <w:tblInd w:w="10" w:type="dxa"/>
        <w:tblCellMar>
          <w:left w:w="10" w:type="dxa"/>
          <w:right w:w="10" w:type="dxa"/>
        </w:tblCellMar>
        <w:tblLook w:val="0000" w:firstRow="0" w:lastRow="0" w:firstColumn="0" w:lastColumn="0" w:noHBand="0" w:noVBand="0"/>
      </w:tblPr>
      <w:tblGrid>
        <w:gridCol w:w="224"/>
        <w:gridCol w:w="3221"/>
        <w:gridCol w:w="224"/>
        <w:gridCol w:w="2886"/>
        <w:gridCol w:w="224"/>
        <w:gridCol w:w="3356"/>
      </w:tblGrid>
      <w:tr w:rsidR="00E30B72" w14:paraId="5A00F3E4" w14:textId="77777777" w:rsidTr="008477F9">
        <w:tc>
          <w:tcPr>
            <w:tcW w:w="100" w:type="dxa"/>
          </w:tcPr>
          <w:p w14:paraId="33AA82A1" w14:textId="77777777" w:rsidR="00E30B72" w:rsidRDefault="00E30B72" w:rsidP="008477F9">
            <w:pPr>
              <w:jc w:val="center"/>
            </w:pPr>
            <w:r>
              <w:rPr>
                <w:noProof/>
              </w:rPr>
              <w:drawing>
                <wp:inline distT="0" distB="0" distL="0" distR="0" wp14:anchorId="5030BD10" wp14:editId="78D1E799">
                  <wp:extent cx="129540" cy="129540"/>
                  <wp:effectExtent l="0" t="0" r="0" b="0"/>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3500" w:type="dxa"/>
          </w:tcPr>
          <w:p w14:paraId="2F62336E" w14:textId="77777777" w:rsidR="00E30B72" w:rsidRDefault="00E30B72" w:rsidP="008477F9">
            <w:proofErr w:type="gramStart"/>
            <w:r>
              <w:t>Immobilizzazioni:109.600</w:t>
            </w:r>
            <w:proofErr w:type="gramEnd"/>
            <w:r>
              <w:t>,00€</w:t>
            </w:r>
          </w:p>
        </w:tc>
        <w:tc>
          <w:tcPr>
            <w:tcW w:w="100" w:type="dxa"/>
          </w:tcPr>
          <w:p w14:paraId="655BCDBD" w14:textId="77777777" w:rsidR="00E30B72" w:rsidRDefault="00E30B72" w:rsidP="008477F9">
            <w:pPr>
              <w:jc w:val="center"/>
            </w:pPr>
            <w:r>
              <w:rPr>
                <w:noProof/>
              </w:rPr>
              <w:drawing>
                <wp:inline distT="0" distB="0" distL="0" distR="0" wp14:anchorId="27AEE227" wp14:editId="7B26B886">
                  <wp:extent cx="129540" cy="129540"/>
                  <wp:effectExtent l="0" t="0" r="0" b="0"/>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3500" w:type="dxa"/>
          </w:tcPr>
          <w:p w14:paraId="0DF0B024" w14:textId="77777777" w:rsidR="00E30B72" w:rsidRDefault="00E30B72" w:rsidP="008477F9">
            <w:r>
              <w:t xml:space="preserve">Fonti a </w:t>
            </w:r>
            <w:proofErr w:type="gramStart"/>
            <w:r>
              <w:t>lungo:971.000</w:t>
            </w:r>
            <w:proofErr w:type="gramEnd"/>
            <w:r>
              <w:t>,00€</w:t>
            </w:r>
          </w:p>
        </w:tc>
        <w:tc>
          <w:tcPr>
            <w:tcW w:w="100" w:type="dxa"/>
          </w:tcPr>
          <w:p w14:paraId="65A21ECE" w14:textId="77777777" w:rsidR="00E30B72" w:rsidRDefault="00E30B72" w:rsidP="008477F9">
            <w:pPr>
              <w:jc w:val="center"/>
            </w:pPr>
            <w:r>
              <w:rPr>
                <w:noProof/>
              </w:rPr>
              <w:drawing>
                <wp:inline distT="0" distB="0" distL="0" distR="0" wp14:anchorId="1781DC07" wp14:editId="6BE2A905">
                  <wp:extent cx="129540" cy="129540"/>
                  <wp:effectExtent l="0" t="0" r="0" b="0"/>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4500" w:type="dxa"/>
          </w:tcPr>
          <w:p w14:paraId="1784BADA" w14:textId="77777777" w:rsidR="00E30B72" w:rsidRDefault="00E30B72" w:rsidP="008477F9">
            <w:r>
              <w:t>Capitale Circolante: 861.400,00€</w:t>
            </w:r>
          </w:p>
        </w:tc>
      </w:tr>
    </w:tbl>
    <w:p w14:paraId="71996298" w14:textId="77777777" w:rsidR="00E30B72" w:rsidRDefault="00E30B72" w:rsidP="00E30B72">
      <w:pPr>
        <w:sectPr w:rsidR="00E30B72">
          <w:pgSz w:w="11905" w:h="16837"/>
          <w:pgMar w:top="1440" w:right="880" w:bottom="1440" w:left="880" w:header="720" w:footer="720" w:gutter="0"/>
          <w:cols w:space="720"/>
        </w:sectPr>
      </w:pPr>
    </w:p>
    <w:tbl>
      <w:tblPr>
        <w:tblW w:w="0" w:type="auto"/>
        <w:tblInd w:w="10" w:type="dxa"/>
        <w:tblCellMar>
          <w:left w:w="10" w:type="dxa"/>
          <w:right w:w="10" w:type="dxa"/>
        </w:tblCellMar>
        <w:tblLook w:val="0000" w:firstRow="0" w:lastRow="0" w:firstColumn="0" w:lastColumn="0" w:noHBand="0" w:noVBand="0"/>
      </w:tblPr>
      <w:tblGrid>
        <w:gridCol w:w="5889"/>
        <w:gridCol w:w="1939"/>
        <w:gridCol w:w="1800"/>
      </w:tblGrid>
      <w:tr w:rsidR="00E30B72" w14:paraId="4B0E5137" w14:textId="77777777" w:rsidTr="008477F9">
        <w:tc>
          <w:tcPr>
            <w:tcW w:w="9000" w:type="dxa"/>
          </w:tcPr>
          <w:p w14:paraId="24684939" w14:textId="77777777" w:rsidR="00E30B72" w:rsidRDefault="00E30B72" w:rsidP="008477F9">
            <w:pPr>
              <w:spacing w:before="360" w:after="0"/>
              <w:ind w:left="540" w:right="120"/>
            </w:pPr>
            <w:r>
              <w:lastRenderedPageBreak/>
              <w:t>DSCR Previsionale Index</w:t>
            </w:r>
          </w:p>
        </w:tc>
        <w:tc>
          <w:tcPr>
            <w:tcW w:w="2500" w:type="dxa"/>
          </w:tcPr>
          <w:p w14:paraId="4FCDC7AE" w14:textId="77777777" w:rsidR="00E30B72" w:rsidRDefault="00E30B72" w:rsidP="008477F9">
            <w:pPr>
              <w:spacing w:before="360" w:after="0"/>
              <w:ind w:left="540" w:right="120"/>
            </w:pPr>
            <w:r>
              <w:rPr>
                <w:color w:val="008000"/>
              </w:rPr>
              <w:t>Bene: 100%</w:t>
            </w:r>
          </w:p>
        </w:tc>
        <w:tc>
          <w:tcPr>
            <w:tcW w:w="2500" w:type="dxa"/>
          </w:tcPr>
          <w:p w14:paraId="24722BFD" w14:textId="77777777" w:rsidR="00E30B72" w:rsidRDefault="00E30B72" w:rsidP="008477F9">
            <w:r>
              <w:rPr>
                <w:noProof/>
              </w:rPr>
              <w:drawing>
                <wp:inline distT="0" distB="0" distL="0" distR="0" wp14:anchorId="717B12A9" wp14:editId="1987C253">
                  <wp:extent cx="540000" cy="540000"/>
                  <wp:effectExtent l="0" t="0" r="0" b="0"/>
                  <wp:docPr id="17" name="Char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tbl>
      <w:tblPr>
        <w:tblStyle w:val="Tabelle"/>
        <w:tblW w:w="0" w:type="auto"/>
        <w:tblInd w:w="0" w:type="dxa"/>
        <w:tblLook w:val="04A0" w:firstRow="1" w:lastRow="0" w:firstColumn="1" w:lastColumn="0" w:noHBand="0" w:noVBand="1"/>
      </w:tblPr>
      <w:tblGrid>
        <w:gridCol w:w="7888"/>
        <w:gridCol w:w="1748"/>
      </w:tblGrid>
      <w:tr w:rsidR="00E30B72" w14:paraId="6B19D9FA" w14:textId="77777777" w:rsidTr="008477F9">
        <w:trPr>
          <w:cnfStyle w:val="100000000000" w:firstRow="1" w:lastRow="0" w:firstColumn="0" w:lastColumn="0" w:oddVBand="0" w:evenVBand="0" w:oddHBand="0" w:evenHBand="0" w:firstRowFirstColumn="0" w:firstRowLastColumn="0" w:lastRowFirstColumn="0" w:lastRowLastColumn="0"/>
        </w:trPr>
        <w:tc>
          <w:tcPr>
            <w:tcW w:w="9900" w:type="dxa"/>
          </w:tcPr>
          <w:p w14:paraId="7F4E8FAE" w14:textId="77777777" w:rsidR="00E30B72" w:rsidRDefault="00E30B72" w:rsidP="008477F9">
            <w:pPr>
              <w:spacing w:after="0"/>
              <w:jc w:val="center"/>
            </w:pPr>
            <w:r>
              <w:rPr>
                <w:b/>
                <w:bCs/>
              </w:rPr>
              <w:t>Campo</w:t>
            </w:r>
          </w:p>
        </w:tc>
        <w:tc>
          <w:tcPr>
            <w:tcW w:w="900" w:type="dxa"/>
          </w:tcPr>
          <w:p w14:paraId="03EB0B36" w14:textId="77777777" w:rsidR="00E30B72" w:rsidRDefault="00E30B72" w:rsidP="008477F9">
            <w:pPr>
              <w:spacing w:after="0"/>
              <w:jc w:val="center"/>
            </w:pPr>
            <w:r>
              <w:rPr>
                <w:b/>
                <w:bCs/>
              </w:rPr>
              <w:t>Valore</w:t>
            </w:r>
          </w:p>
        </w:tc>
      </w:tr>
      <w:tr w:rsidR="00E30B72" w14:paraId="009118CD" w14:textId="77777777" w:rsidTr="008477F9">
        <w:tc>
          <w:tcPr>
            <w:tcW w:w="2000" w:type="dxa"/>
          </w:tcPr>
          <w:p w14:paraId="59CC30F9" w14:textId="77777777" w:rsidR="00E30B72" w:rsidRDefault="00E30B72" w:rsidP="008477F9">
            <w:pPr>
              <w:spacing w:after="0"/>
            </w:pPr>
            <w:r>
              <w:t xml:space="preserve"> Ammortamenti annuali</w:t>
            </w:r>
          </w:p>
        </w:tc>
        <w:tc>
          <w:tcPr>
            <w:tcW w:w="2000" w:type="dxa"/>
          </w:tcPr>
          <w:p w14:paraId="097FA2B1" w14:textId="77777777" w:rsidR="00E30B72" w:rsidRDefault="00E30B72" w:rsidP="008477F9">
            <w:pPr>
              <w:spacing w:after="0"/>
              <w:jc w:val="center"/>
            </w:pPr>
            <w:r>
              <w:t>39.625,00</w:t>
            </w:r>
          </w:p>
        </w:tc>
      </w:tr>
      <w:tr w:rsidR="00E30B72" w14:paraId="2E741F8A" w14:textId="77777777" w:rsidTr="008477F9">
        <w:tc>
          <w:tcPr>
            <w:tcW w:w="2000" w:type="dxa"/>
          </w:tcPr>
          <w:p w14:paraId="5971224C" w14:textId="77777777" w:rsidR="00E30B72" w:rsidRDefault="00E30B72" w:rsidP="008477F9">
            <w:pPr>
              <w:spacing w:after="0"/>
            </w:pPr>
            <w:r>
              <w:t xml:space="preserve"> Quota capitale + interessi rate in scadenza nei prossimi 6 mesi</w:t>
            </w:r>
          </w:p>
        </w:tc>
        <w:tc>
          <w:tcPr>
            <w:tcW w:w="2000" w:type="dxa"/>
          </w:tcPr>
          <w:p w14:paraId="643DB5CB" w14:textId="77777777" w:rsidR="00E30B72" w:rsidRDefault="00E30B72" w:rsidP="008477F9">
            <w:pPr>
              <w:spacing w:after="0"/>
              <w:jc w:val="center"/>
            </w:pPr>
            <w:r>
              <w:t>43.464,00</w:t>
            </w:r>
          </w:p>
        </w:tc>
      </w:tr>
      <w:tr w:rsidR="00E30B72" w14:paraId="237CE00E" w14:textId="77777777" w:rsidTr="008477F9">
        <w:tc>
          <w:tcPr>
            <w:tcW w:w="2000" w:type="dxa"/>
          </w:tcPr>
          <w:p w14:paraId="37EAAF19" w14:textId="77777777" w:rsidR="00E30B72" w:rsidRDefault="00E30B72" w:rsidP="008477F9">
            <w:pPr>
              <w:spacing w:after="0"/>
            </w:pPr>
            <w:r>
              <w:t xml:space="preserve"> Imposte annuali</w:t>
            </w:r>
          </w:p>
        </w:tc>
        <w:tc>
          <w:tcPr>
            <w:tcW w:w="2000" w:type="dxa"/>
          </w:tcPr>
          <w:p w14:paraId="414C343D" w14:textId="77777777" w:rsidR="00E30B72" w:rsidRDefault="00E30B72" w:rsidP="008477F9">
            <w:pPr>
              <w:spacing w:after="0"/>
              <w:jc w:val="center"/>
            </w:pPr>
            <w:r>
              <w:t>2.600,00</w:t>
            </w:r>
          </w:p>
        </w:tc>
      </w:tr>
      <w:tr w:rsidR="00E30B72" w14:paraId="086D8055" w14:textId="77777777" w:rsidTr="008477F9">
        <w:tc>
          <w:tcPr>
            <w:tcW w:w="2000" w:type="dxa"/>
          </w:tcPr>
          <w:p w14:paraId="08AC2F0A" w14:textId="77777777" w:rsidR="00E30B72" w:rsidRDefault="00E30B72" w:rsidP="008477F9">
            <w:pPr>
              <w:spacing w:after="0"/>
            </w:pPr>
            <w:r>
              <w:rPr>
                <w:b/>
                <w:bCs/>
              </w:rPr>
              <w:t xml:space="preserve"> DSCR Previsionale</w:t>
            </w:r>
          </w:p>
        </w:tc>
        <w:tc>
          <w:tcPr>
            <w:tcW w:w="2000" w:type="dxa"/>
          </w:tcPr>
          <w:p w14:paraId="50953DB7" w14:textId="77777777" w:rsidR="00E30B72" w:rsidRDefault="00E30B72" w:rsidP="008477F9">
            <w:pPr>
              <w:spacing w:after="0"/>
              <w:jc w:val="center"/>
            </w:pPr>
            <w:r>
              <w:rPr>
                <w:b/>
                <w:bCs/>
              </w:rPr>
              <w:t>2,21</w:t>
            </w:r>
          </w:p>
        </w:tc>
      </w:tr>
    </w:tbl>
    <w:p w14:paraId="6BE0F11A" w14:textId="77777777" w:rsidR="00E30B72" w:rsidRDefault="00E30B72" w:rsidP="00E30B72">
      <w:r>
        <w:rPr>
          <w:color w:val="008000"/>
        </w:rPr>
        <w:t xml:space="preserve">Nei prossimi sei mesi </w:t>
      </w:r>
      <w:proofErr w:type="gramStart"/>
      <w:r>
        <w:rPr>
          <w:color w:val="008000"/>
        </w:rPr>
        <w:t>l`azienda</w:t>
      </w:r>
      <w:proofErr w:type="gramEnd"/>
      <w:r>
        <w:rPr>
          <w:color w:val="008000"/>
        </w:rPr>
        <w:t xml:space="preserve"> non avrà tensioni di liquidità. Continua a monitorare che il CCN e la tua redditività restino su questi livelli!</w:t>
      </w:r>
    </w:p>
    <w:tbl>
      <w:tblPr>
        <w:tblW w:w="0" w:type="auto"/>
        <w:tblInd w:w="10" w:type="dxa"/>
        <w:tblCellMar>
          <w:left w:w="10" w:type="dxa"/>
          <w:right w:w="10" w:type="dxa"/>
        </w:tblCellMar>
        <w:tblLook w:val="0000" w:firstRow="0" w:lastRow="0" w:firstColumn="0" w:lastColumn="0" w:noHBand="0" w:noVBand="0"/>
      </w:tblPr>
      <w:tblGrid>
        <w:gridCol w:w="4801"/>
        <w:gridCol w:w="2994"/>
        <w:gridCol w:w="1833"/>
      </w:tblGrid>
      <w:tr w:rsidR="00E30B72" w14:paraId="36D58FAE" w14:textId="77777777" w:rsidTr="00236F70">
        <w:tc>
          <w:tcPr>
            <w:tcW w:w="5093" w:type="dxa"/>
          </w:tcPr>
          <w:p w14:paraId="2F8E6370" w14:textId="77777777" w:rsidR="00E30B72" w:rsidRDefault="00E30B72" w:rsidP="008477F9">
            <w:pPr>
              <w:spacing w:before="360" w:after="0"/>
              <w:ind w:left="540" w:right="120"/>
            </w:pPr>
            <w:r>
              <w:t xml:space="preserve">Z-Score Index </w:t>
            </w:r>
          </w:p>
        </w:tc>
        <w:tc>
          <w:tcPr>
            <w:tcW w:w="3132" w:type="dxa"/>
          </w:tcPr>
          <w:p w14:paraId="0489963C" w14:textId="77777777" w:rsidR="00E30B72" w:rsidRDefault="00E30B72" w:rsidP="00236F70">
            <w:pPr>
              <w:spacing w:before="360" w:after="0"/>
              <w:ind w:left="153" w:right="120"/>
              <w:jc w:val="center"/>
            </w:pPr>
            <w:r w:rsidRPr="00236F70">
              <w:rPr>
                <w:color w:val="C45911" w:themeColor="accent2" w:themeShade="BF"/>
                <w:sz w:val="34"/>
                <w:szCs w:val="34"/>
              </w:rPr>
              <w:t>Critico: 38%</w:t>
            </w:r>
          </w:p>
        </w:tc>
        <w:tc>
          <w:tcPr>
            <w:tcW w:w="1910" w:type="dxa"/>
          </w:tcPr>
          <w:p w14:paraId="2D552768" w14:textId="77777777" w:rsidR="00E30B72" w:rsidRDefault="00E30B72" w:rsidP="008477F9">
            <w:r>
              <w:rPr>
                <w:noProof/>
              </w:rPr>
              <w:drawing>
                <wp:inline distT="0" distB="0" distL="0" distR="0" wp14:anchorId="0836B768" wp14:editId="3626CEAC">
                  <wp:extent cx="540000" cy="540000"/>
                  <wp:effectExtent l="0" t="0" r="0" b="0"/>
                  <wp:docPr id="18" name="Char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tbl>
      <w:tblPr>
        <w:tblStyle w:val="Tabelle"/>
        <w:tblW w:w="0" w:type="auto"/>
        <w:tblInd w:w="0" w:type="dxa"/>
        <w:tblLook w:val="04A0" w:firstRow="1" w:lastRow="0" w:firstColumn="1" w:lastColumn="0" w:noHBand="0" w:noVBand="1"/>
      </w:tblPr>
      <w:tblGrid>
        <w:gridCol w:w="7897"/>
        <w:gridCol w:w="1739"/>
      </w:tblGrid>
      <w:tr w:rsidR="00E30B72" w14:paraId="4CACBB1A" w14:textId="77777777" w:rsidTr="008477F9">
        <w:trPr>
          <w:cnfStyle w:val="100000000000" w:firstRow="1" w:lastRow="0" w:firstColumn="0" w:lastColumn="0" w:oddVBand="0" w:evenVBand="0" w:oddHBand="0" w:evenHBand="0" w:firstRowFirstColumn="0" w:firstRowLastColumn="0" w:lastRowFirstColumn="0" w:lastRowLastColumn="0"/>
        </w:trPr>
        <w:tc>
          <w:tcPr>
            <w:tcW w:w="9900" w:type="dxa"/>
          </w:tcPr>
          <w:p w14:paraId="39F5EA51" w14:textId="77777777" w:rsidR="00E30B72" w:rsidRDefault="00E30B72" w:rsidP="008477F9">
            <w:pPr>
              <w:spacing w:after="0"/>
              <w:jc w:val="center"/>
            </w:pPr>
            <w:r>
              <w:rPr>
                <w:b/>
                <w:bCs/>
              </w:rPr>
              <w:t>Campo</w:t>
            </w:r>
          </w:p>
        </w:tc>
        <w:tc>
          <w:tcPr>
            <w:tcW w:w="900" w:type="dxa"/>
          </w:tcPr>
          <w:p w14:paraId="2A2AF2AE" w14:textId="77777777" w:rsidR="00E30B72" w:rsidRDefault="00E30B72" w:rsidP="008477F9">
            <w:pPr>
              <w:spacing w:after="0"/>
              <w:jc w:val="center"/>
            </w:pPr>
            <w:r>
              <w:rPr>
                <w:b/>
                <w:bCs/>
              </w:rPr>
              <w:t>Valore</w:t>
            </w:r>
          </w:p>
        </w:tc>
      </w:tr>
      <w:tr w:rsidR="00E30B72" w14:paraId="6B15BB38" w14:textId="77777777" w:rsidTr="008477F9">
        <w:tc>
          <w:tcPr>
            <w:tcW w:w="2000" w:type="dxa"/>
          </w:tcPr>
          <w:p w14:paraId="1992AFA3" w14:textId="77777777" w:rsidR="00E30B72" w:rsidRDefault="00E30B72" w:rsidP="008477F9">
            <w:pPr>
              <w:spacing w:after="0"/>
            </w:pPr>
            <w:r>
              <w:t xml:space="preserve"> Oneri finanziari</w:t>
            </w:r>
          </w:p>
        </w:tc>
        <w:tc>
          <w:tcPr>
            <w:tcW w:w="2000" w:type="dxa"/>
          </w:tcPr>
          <w:p w14:paraId="2B68B5DD" w14:textId="77777777" w:rsidR="00E30B72" w:rsidRDefault="00E30B72" w:rsidP="008477F9">
            <w:pPr>
              <w:spacing w:after="0"/>
              <w:jc w:val="center"/>
            </w:pPr>
            <w:r>
              <w:t>9.300,00</w:t>
            </w:r>
          </w:p>
        </w:tc>
      </w:tr>
      <w:tr w:rsidR="00E30B72" w14:paraId="57F95EA5" w14:textId="77777777" w:rsidTr="008477F9">
        <w:tc>
          <w:tcPr>
            <w:tcW w:w="2000" w:type="dxa"/>
          </w:tcPr>
          <w:p w14:paraId="3BBC4EAD" w14:textId="77777777" w:rsidR="00E30B72" w:rsidRDefault="00E30B72" w:rsidP="008477F9">
            <w:pPr>
              <w:spacing w:after="0"/>
            </w:pPr>
            <w:r>
              <w:rPr>
                <w:b/>
                <w:bCs/>
              </w:rPr>
              <w:t xml:space="preserve"> Z-SCORE INDEX VALUE</w:t>
            </w:r>
          </w:p>
        </w:tc>
        <w:tc>
          <w:tcPr>
            <w:tcW w:w="2000" w:type="dxa"/>
          </w:tcPr>
          <w:p w14:paraId="42231C16" w14:textId="77777777" w:rsidR="00E30B72" w:rsidRDefault="00E30B72" w:rsidP="008477F9">
            <w:pPr>
              <w:spacing w:after="0"/>
              <w:jc w:val="center"/>
            </w:pPr>
            <w:r>
              <w:rPr>
                <w:b/>
                <w:bCs/>
              </w:rPr>
              <w:t>1,50</w:t>
            </w:r>
          </w:p>
        </w:tc>
      </w:tr>
    </w:tbl>
    <w:p w14:paraId="14B0B3F0" w14:textId="77777777" w:rsidR="00E30B72" w:rsidRDefault="00E30B72" w:rsidP="00E30B72"/>
    <w:tbl>
      <w:tblPr>
        <w:tblW w:w="0" w:type="auto"/>
        <w:tblInd w:w="10" w:type="dxa"/>
        <w:tblCellMar>
          <w:left w:w="10" w:type="dxa"/>
          <w:right w:w="10" w:type="dxa"/>
        </w:tblCellMar>
        <w:tblLook w:val="0000" w:firstRow="0" w:lastRow="0" w:firstColumn="0" w:lastColumn="0" w:noHBand="0" w:noVBand="0"/>
      </w:tblPr>
      <w:tblGrid>
        <w:gridCol w:w="4677"/>
        <w:gridCol w:w="2595"/>
        <w:gridCol w:w="2356"/>
      </w:tblGrid>
      <w:tr w:rsidR="00E30B72" w14:paraId="7759D458" w14:textId="77777777" w:rsidTr="008477F9">
        <w:tc>
          <w:tcPr>
            <w:tcW w:w="9000" w:type="dxa"/>
          </w:tcPr>
          <w:p w14:paraId="59F3C96A" w14:textId="77777777" w:rsidR="00E30B72" w:rsidRDefault="00E30B72" w:rsidP="008477F9">
            <w:pPr>
              <w:spacing w:before="360" w:after="0"/>
              <w:ind w:left="540" w:right="120"/>
            </w:pPr>
            <w:r>
              <w:rPr>
                <w:sz w:val="34"/>
                <w:szCs w:val="34"/>
              </w:rPr>
              <w:t>Area clienti</w:t>
            </w:r>
          </w:p>
        </w:tc>
        <w:tc>
          <w:tcPr>
            <w:tcW w:w="4000" w:type="dxa"/>
          </w:tcPr>
          <w:p w14:paraId="7882CF6E" w14:textId="77777777" w:rsidR="00E30B72" w:rsidRDefault="00E30B72" w:rsidP="008477F9">
            <w:pPr>
              <w:spacing w:before="360" w:after="0"/>
              <w:ind w:left="540" w:right="120"/>
            </w:pPr>
            <w:r w:rsidRPr="00236F70">
              <w:rPr>
                <w:color w:val="C45911" w:themeColor="accent2" w:themeShade="BF"/>
                <w:sz w:val="34"/>
                <w:szCs w:val="34"/>
              </w:rPr>
              <w:t>Critico 64%</w:t>
            </w:r>
          </w:p>
        </w:tc>
        <w:tc>
          <w:tcPr>
            <w:tcW w:w="4000" w:type="dxa"/>
          </w:tcPr>
          <w:p w14:paraId="4D5CACB1" w14:textId="77777777" w:rsidR="00E30B72" w:rsidRDefault="00E30B72" w:rsidP="008477F9">
            <w:r>
              <w:rPr>
                <w:noProof/>
              </w:rPr>
              <w:drawing>
                <wp:inline distT="0" distB="0" distL="0" distR="0" wp14:anchorId="09D377AD" wp14:editId="10A2DD80">
                  <wp:extent cx="720000" cy="720000"/>
                  <wp:effectExtent l="0" t="0" r="0" b="0"/>
                  <wp:docPr id="19" name="Chart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tbl>
      <w:tblPr>
        <w:tblStyle w:val="Tabelle"/>
        <w:tblW w:w="0" w:type="auto"/>
        <w:tblInd w:w="0" w:type="dxa"/>
        <w:tblLook w:val="04A0" w:firstRow="1" w:lastRow="0" w:firstColumn="1" w:lastColumn="0" w:noHBand="0" w:noVBand="1"/>
      </w:tblPr>
      <w:tblGrid>
        <w:gridCol w:w="7955"/>
        <w:gridCol w:w="1681"/>
      </w:tblGrid>
      <w:tr w:rsidR="00E30B72" w14:paraId="299BD2F5" w14:textId="77777777" w:rsidTr="008477F9">
        <w:trPr>
          <w:cnfStyle w:val="100000000000" w:firstRow="1" w:lastRow="0" w:firstColumn="0" w:lastColumn="0" w:oddVBand="0" w:evenVBand="0" w:oddHBand="0" w:evenHBand="0" w:firstRowFirstColumn="0" w:firstRowLastColumn="0" w:lastRowFirstColumn="0" w:lastRowLastColumn="0"/>
        </w:trPr>
        <w:tc>
          <w:tcPr>
            <w:tcW w:w="9900" w:type="dxa"/>
          </w:tcPr>
          <w:p w14:paraId="4C343033" w14:textId="77777777" w:rsidR="00E30B72" w:rsidRDefault="00E30B72" w:rsidP="008477F9">
            <w:pPr>
              <w:spacing w:after="0"/>
              <w:jc w:val="center"/>
            </w:pPr>
            <w:r>
              <w:rPr>
                <w:b/>
                <w:bCs/>
              </w:rPr>
              <w:t>Campo</w:t>
            </w:r>
          </w:p>
        </w:tc>
        <w:tc>
          <w:tcPr>
            <w:tcW w:w="900" w:type="dxa"/>
          </w:tcPr>
          <w:p w14:paraId="0929F4AA" w14:textId="77777777" w:rsidR="00E30B72" w:rsidRDefault="00E30B72" w:rsidP="008477F9">
            <w:pPr>
              <w:spacing w:after="0"/>
              <w:jc w:val="center"/>
            </w:pPr>
            <w:r>
              <w:rPr>
                <w:b/>
                <w:bCs/>
              </w:rPr>
              <w:t>Valore</w:t>
            </w:r>
          </w:p>
        </w:tc>
      </w:tr>
      <w:tr w:rsidR="00E30B72" w14:paraId="71FE666F" w14:textId="77777777" w:rsidTr="008477F9">
        <w:tc>
          <w:tcPr>
            <w:tcW w:w="2000" w:type="dxa"/>
          </w:tcPr>
          <w:p w14:paraId="59F8D97E" w14:textId="77777777" w:rsidR="00E30B72" w:rsidRDefault="00E30B72" w:rsidP="008477F9">
            <w:pPr>
              <w:spacing w:after="0"/>
            </w:pPr>
            <w:r>
              <w:rPr>
                <w:b/>
                <w:bCs/>
              </w:rPr>
              <w:t xml:space="preserve"> SODDISFAZIONE DEL CLIENTE</w:t>
            </w:r>
          </w:p>
        </w:tc>
        <w:tc>
          <w:tcPr>
            <w:tcW w:w="2000" w:type="dxa"/>
          </w:tcPr>
          <w:p w14:paraId="3ABCA478" w14:textId="77777777" w:rsidR="00E30B72" w:rsidRDefault="00E30B72" w:rsidP="008477F9">
            <w:pPr>
              <w:spacing w:after="0"/>
              <w:jc w:val="center"/>
            </w:pPr>
            <w:r>
              <w:rPr>
                <w:b/>
                <w:bCs/>
              </w:rPr>
              <w:t>85%</w:t>
            </w:r>
          </w:p>
        </w:tc>
      </w:tr>
    </w:tbl>
    <w:p w14:paraId="47AC9E2B" w14:textId="77777777" w:rsidR="00E30B72" w:rsidRDefault="00E30B72" w:rsidP="00E30B72">
      <w:r>
        <w:rPr>
          <w:color w:val="008000"/>
        </w:rPr>
        <w:t>Il tuo parco clienti è soddisfatto della tua azienda, continua così!</w:t>
      </w:r>
    </w:p>
    <w:p w14:paraId="443CBC8D" w14:textId="77777777" w:rsidR="00E30B72" w:rsidRDefault="00E30B72" w:rsidP="00E30B72"/>
    <w:tbl>
      <w:tblPr>
        <w:tblStyle w:val="Tabelle"/>
        <w:tblW w:w="0" w:type="auto"/>
        <w:tblInd w:w="0" w:type="dxa"/>
        <w:tblLook w:val="04A0" w:firstRow="1" w:lastRow="0" w:firstColumn="1" w:lastColumn="0" w:noHBand="0" w:noVBand="1"/>
      </w:tblPr>
      <w:tblGrid>
        <w:gridCol w:w="7955"/>
        <w:gridCol w:w="1681"/>
      </w:tblGrid>
      <w:tr w:rsidR="00E30B72" w14:paraId="4A6140EA" w14:textId="77777777" w:rsidTr="008477F9">
        <w:trPr>
          <w:cnfStyle w:val="100000000000" w:firstRow="1" w:lastRow="0" w:firstColumn="0" w:lastColumn="0" w:oddVBand="0" w:evenVBand="0" w:oddHBand="0" w:evenHBand="0" w:firstRowFirstColumn="0" w:firstRowLastColumn="0" w:lastRowFirstColumn="0" w:lastRowLastColumn="0"/>
        </w:trPr>
        <w:tc>
          <w:tcPr>
            <w:tcW w:w="9900" w:type="dxa"/>
          </w:tcPr>
          <w:p w14:paraId="691A3A66" w14:textId="77777777" w:rsidR="00E30B72" w:rsidRDefault="00E30B72" w:rsidP="008477F9">
            <w:pPr>
              <w:spacing w:after="0"/>
              <w:jc w:val="center"/>
            </w:pPr>
            <w:r>
              <w:rPr>
                <w:b/>
                <w:bCs/>
              </w:rPr>
              <w:t>Campo</w:t>
            </w:r>
          </w:p>
        </w:tc>
        <w:tc>
          <w:tcPr>
            <w:tcW w:w="900" w:type="dxa"/>
          </w:tcPr>
          <w:p w14:paraId="2E3F3858" w14:textId="77777777" w:rsidR="00E30B72" w:rsidRDefault="00E30B72" w:rsidP="008477F9">
            <w:pPr>
              <w:spacing w:after="0"/>
              <w:jc w:val="center"/>
            </w:pPr>
            <w:r>
              <w:rPr>
                <w:b/>
                <w:bCs/>
              </w:rPr>
              <w:t>Valore</w:t>
            </w:r>
          </w:p>
        </w:tc>
      </w:tr>
      <w:tr w:rsidR="00E30B72" w14:paraId="083D53A2" w14:textId="77777777" w:rsidTr="008477F9">
        <w:tc>
          <w:tcPr>
            <w:tcW w:w="2000" w:type="dxa"/>
          </w:tcPr>
          <w:p w14:paraId="10042CA6" w14:textId="77777777" w:rsidR="00E30B72" w:rsidRDefault="00E30B72" w:rsidP="008477F9">
            <w:pPr>
              <w:spacing w:after="0"/>
            </w:pPr>
            <w:r>
              <w:t xml:space="preserve"> Numero clienti nuovi</w:t>
            </w:r>
          </w:p>
        </w:tc>
        <w:tc>
          <w:tcPr>
            <w:tcW w:w="2000" w:type="dxa"/>
          </w:tcPr>
          <w:p w14:paraId="0B319567" w14:textId="77777777" w:rsidR="00E30B72" w:rsidRDefault="00E30B72" w:rsidP="008477F9">
            <w:pPr>
              <w:spacing w:after="0"/>
              <w:jc w:val="center"/>
            </w:pPr>
            <w:r>
              <w:t>15,00</w:t>
            </w:r>
          </w:p>
        </w:tc>
      </w:tr>
      <w:tr w:rsidR="00E30B72" w14:paraId="42C341A7" w14:textId="77777777" w:rsidTr="008477F9">
        <w:tc>
          <w:tcPr>
            <w:tcW w:w="2000" w:type="dxa"/>
          </w:tcPr>
          <w:p w14:paraId="33BE1EB5" w14:textId="77777777" w:rsidR="00E30B72" w:rsidRDefault="00E30B72" w:rsidP="008477F9">
            <w:pPr>
              <w:spacing w:after="0"/>
            </w:pPr>
            <w:r>
              <w:t xml:space="preserve"> Numero clienti totale</w:t>
            </w:r>
          </w:p>
        </w:tc>
        <w:tc>
          <w:tcPr>
            <w:tcW w:w="2000" w:type="dxa"/>
          </w:tcPr>
          <w:p w14:paraId="1FACC9B7" w14:textId="77777777" w:rsidR="00E30B72" w:rsidRDefault="00E30B72" w:rsidP="008477F9">
            <w:pPr>
              <w:spacing w:after="0"/>
              <w:jc w:val="center"/>
            </w:pPr>
            <w:r>
              <w:t>200,00</w:t>
            </w:r>
          </w:p>
        </w:tc>
      </w:tr>
      <w:tr w:rsidR="00E30B72" w14:paraId="79F75A0B" w14:textId="77777777" w:rsidTr="008477F9">
        <w:tc>
          <w:tcPr>
            <w:tcW w:w="2000" w:type="dxa"/>
          </w:tcPr>
          <w:p w14:paraId="57BA8B25" w14:textId="77777777" w:rsidR="00E30B72" w:rsidRDefault="00E30B72" w:rsidP="008477F9">
            <w:pPr>
              <w:spacing w:after="0"/>
            </w:pPr>
            <w:r>
              <w:rPr>
                <w:b/>
                <w:bCs/>
              </w:rPr>
              <w:t xml:space="preserve"> AUMENTO E FIDELIZZAZIONE PARCO CLIENTI</w:t>
            </w:r>
          </w:p>
        </w:tc>
        <w:tc>
          <w:tcPr>
            <w:tcW w:w="2000" w:type="dxa"/>
          </w:tcPr>
          <w:p w14:paraId="2A78DE5D" w14:textId="77777777" w:rsidR="00E30B72" w:rsidRDefault="00E30B72" w:rsidP="008477F9">
            <w:pPr>
              <w:spacing w:after="0"/>
              <w:jc w:val="center"/>
            </w:pPr>
            <w:r>
              <w:rPr>
                <w:b/>
                <w:bCs/>
              </w:rPr>
              <w:t>20%</w:t>
            </w:r>
          </w:p>
        </w:tc>
      </w:tr>
    </w:tbl>
    <w:p w14:paraId="2146440B" w14:textId="0641BFE4" w:rsidR="00E30B72" w:rsidRDefault="00E30B72" w:rsidP="00E30B72">
      <w:r>
        <w:rPr>
          <w:color w:val="FF0000"/>
        </w:rPr>
        <w:t xml:space="preserve">La tua azienda ha un numero troppo elevato di nuovi clienti rispetto a quelli fidelizzati, cerca di capire </w:t>
      </w:r>
      <w:r w:rsidR="001B6827">
        <w:rPr>
          <w:color w:val="FF0000"/>
        </w:rPr>
        <w:t>perché</w:t>
      </w:r>
      <w:r>
        <w:rPr>
          <w:color w:val="FF0000"/>
        </w:rPr>
        <w:t xml:space="preserve"> i tuoi clienti ti abbandonano e fai in modo di limitare questa pericolosa tendenza!</w:t>
      </w:r>
    </w:p>
    <w:p w14:paraId="1FAD3124" w14:textId="77777777" w:rsidR="00E30B72" w:rsidRDefault="00E30B72" w:rsidP="00E30B72"/>
    <w:tbl>
      <w:tblPr>
        <w:tblStyle w:val="Tabelle"/>
        <w:tblW w:w="0" w:type="auto"/>
        <w:tblInd w:w="0" w:type="dxa"/>
        <w:tblLook w:val="04A0" w:firstRow="1" w:lastRow="0" w:firstColumn="1" w:lastColumn="0" w:noHBand="0" w:noVBand="1"/>
      </w:tblPr>
      <w:tblGrid>
        <w:gridCol w:w="7932"/>
        <w:gridCol w:w="1704"/>
      </w:tblGrid>
      <w:tr w:rsidR="00E30B72" w14:paraId="0FB5277C" w14:textId="77777777" w:rsidTr="008477F9">
        <w:trPr>
          <w:cnfStyle w:val="100000000000" w:firstRow="1" w:lastRow="0" w:firstColumn="0" w:lastColumn="0" w:oddVBand="0" w:evenVBand="0" w:oddHBand="0" w:evenHBand="0" w:firstRowFirstColumn="0" w:firstRowLastColumn="0" w:lastRowFirstColumn="0" w:lastRowLastColumn="0"/>
        </w:trPr>
        <w:tc>
          <w:tcPr>
            <w:tcW w:w="9900" w:type="dxa"/>
          </w:tcPr>
          <w:p w14:paraId="5242EF12" w14:textId="77777777" w:rsidR="00E30B72" w:rsidRDefault="00E30B72" w:rsidP="008477F9">
            <w:pPr>
              <w:spacing w:after="0"/>
              <w:jc w:val="center"/>
            </w:pPr>
            <w:r>
              <w:rPr>
                <w:b/>
                <w:bCs/>
              </w:rPr>
              <w:t>Campo</w:t>
            </w:r>
          </w:p>
        </w:tc>
        <w:tc>
          <w:tcPr>
            <w:tcW w:w="900" w:type="dxa"/>
          </w:tcPr>
          <w:p w14:paraId="6CDA59D5" w14:textId="77777777" w:rsidR="00E30B72" w:rsidRDefault="00E30B72" w:rsidP="008477F9">
            <w:pPr>
              <w:spacing w:after="0"/>
              <w:jc w:val="center"/>
            </w:pPr>
            <w:r>
              <w:rPr>
                <w:b/>
                <w:bCs/>
              </w:rPr>
              <w:t>Valore</w:t>
            </w:r>
          </w:p>
        </w:tc>
      </w:tr>
      <w:tr w:rsidR="00E30B72" w14:paraId="251DF296" w14:textId="77777777" w:rsidTr="008477F9">
        <w:tc>
          <w:tcPr>
            <w:tcW w:w="2000" w:type="dxa"/>
          </w:tcPr>
          <w:p w14:paraId="33B87120" w14:textId="77777777" w:rsidR="00E30B72" w:rsidRDefault="00E30B72" w:rsidP="008477F9">
            <w:pPr>
              <w:spacing w:after="0"/>
            </w:pPr>
            <w:r>
              <w:t xml:space="preserve"> Numero referenze ricevute nel mese</w:t>
            </w:r>
          </w:p>
        </w:tc>
        <w:tc>
          <w:tcPr>
            <w:tcW w:w="2000" w:type="dxa"/>
          </w:tcPr>
          <w:p w14:paraId="45D8B17D" w14:textId="77777777" w:rsidR="00E30B72" w:rsidRDefault="00E30B72" w:rsidP="008477F9">
            <w:pPr>
              <w:spacing w:after="0"/>
              <w:jc w:val="center"/>
            </w:pPr>
            <w:r>
              <w:t>4,00</w:t>
            </w:r>
          </w:p>
        </w:tc>
      </w:tr>
      <w:tr w:rsidR="00E30B72" w14:paraId="3240F30E" w14:textId="77777777" w:rsidTr="008477F9">
        <w:tc>
          <w:tcPr>
            <w:tcW w:w="2000" w:type="dxa"/>
          </w:tcPr>
          <w:p w14:paraId="08F026BC" w14:textId="77777777" w:rsidR="00E30B72" w:rsidRDefault="00E30B72" w:rsidP="008477F9">
            <w:pPr>
              <w:spacing w:after="0"/>
            </w:pPr>
            <w:r>
              <w:t xml:space="preserve"> Obiettivo numero referenze</w:t>
            </w:r>
          </w:p>
        </w:tc>
        <w:tc>
          <w:tcPr>
            <w:tcW w:w="2000" w:type="dxa"/>
          </w:tcPr>
          <w:p w14:paraId="000A9D4B" w14:textId="77777777" w:rsidR="00E30B72" w:rsidRDefault="00E30B72" w:rsidP="008477F9">
            <w:pPr>
              <w:spacing w:after="0"/>
              <w:jc w:val="center"/>
            </w:pPr>
            <w:r>
              <w:t>5,00</w:t>
            </w:r>
          </w:p>
        </w:tc>
      </w:tr>
      <w:tr w:rsidR="00E30B72" w14:paraId="7088EAA1" w14:textId="77777777" w:rsidTr="008477F9">
        <w:tc>
          <w:tcPr>
            <w:tcW w:w="2000" w:type="dxa"/>
          </w:tcPr>
          <w:p w14:paraId="00B92B65" w14:textId="77777777" w:rsidR="00E30B72" w:rsidRDefault="00E30B72" w:rsidP="008477F9">
            <w:pPr>
              <w:spacing w:after="0"/>
            </w:pPr>
            <w:r>
              <w:rPr>
                <w:b/>
                <w:bCs/>
              </w:rPr>
              <w:t xml:space="preserve"> LEVE DELLA VENDITA</w:t>
            </w:r>
          </w:p>
        </w:tc>
        <w:tc>
          <w:tcPr>
            <w:tcW w:w="2000" w:type="dxa"/>
          </w:tcPr>
          <w:p w14:paraId="5AC2717F" w14:textId="77777777" w:rsidR="00E30B72" w:rsidRDefault="00E30B72" w:rsidP="008477F9">
            <w:pPr>
              <w:spacing w:after="0"/>
              <w:jc w:val="center"/>
            </w:pPr>
            <w:r>
              <w:rPr>
                <w:b/>
                <w:bCs/>
              </w:rPr>
              <w:t>80%</w:t>
            </w:r>
          </w:p>
        </w:tc>
      </w:tr>
    </w:tbl>
    <w:p w14:paraId="4F9E1175" w14:textId="33E3C132" w:rsidR="00E30B72" w:rsidRDefault="00E30B72" w:rsidP="00E30B72">
      <w:pPr>
        <w:rPr>
          <w:color w:val="008000"/>
        </w:rPr>
      </w:pPr>
      <w:r>
        <w:rPr>
          <w:color w:val="008000"/>
        </w:rPr>
        <w:t>Le tue azioni per vendere sono in linea con le aspettative, continua così!</w:t>
      </w:r>
    </w:p>
    <w:p w14:paraId="43775948" w14:textId="77777777" w:rsidR="00E30B72" w:rsidRDefault="00E30B72">
      <w:pPr>
        <w:rPr>
          <w:color w:val="008000"/>
        </w:rPr>
      </w:pPr>
      <w:r>
        <w:rPr>
          <w:color w:val="008000"/>
        </w:rPr>
        <w:br w:type="page"/>
      </w:r>
    </w:p>
    <w:p w14:paraId="499D5572" w14:textId="77777777" w:rsidR="00E30B72" w:rsidRDefault="00E30B72" w:rsidP="00E30B72"/>
    <w:tbl>
      <w:tblPr>
        <w:tblW w:w="0" w:type="auto"/>
        <w:tblInd w:w="10" w:type="dxa"/>
        <w:tblCellMar>
          <w:left w:w="10" w:type="dxa"/>
          <w:right w:w="10" w:type="dxa"/>
        </w:tblCellMar>
        <w:tblLook w:val="0000" w:firstRow="0" w:lastRow="0" w:firstColumn="0" w:lastColumn="0" w:noHBand="0" w:noVBand="0"/>
      </w:tblPr>
      <w:tblGrid>
        <w:gridCol w:w="4340"/>
        <w:gridCol w:w="2971"/>
        <w:gridCol w:w="2317"/>
      </w:tblGrid>
      <w:tr w:rsidR="00E30B72" w14:paraId="15CEA98A" w14:textId="77777777" w:rsidTr="008477F9">
        <w:tc>
          <w:tcPr>
            <w:tcW w:w="8000" w:type="dxa"/>
          </w:tcPr>
          <w:p w14:paraId="7E108FCA" w14:textId="77777777" w:rsidR="00E30B72" w:rsidRDefault="00E30B72" w:rsidP="008477F9">
            <w:pPr>
              <w:spacing w:before="360" w:after="0"/>
              <w:ind w:left="540" w:right="120"/>
            </w:pPr>
            <w:r>
              <w:rPr>
                <w:sz w:val="34"/>
                <w:szCs w:val="34"/>
              </w:rPr>
              <w:t>Area processi</w:t>
            </w:r>
          </w:p>
        </w:tc>
        <w:tc>
          <w:tcPr>
            <w:tcW w:w="5000" w:type="dxa"/>
          </w:tcPr>
          <w:p w14:paraId="5C6933DD" w14:textId="77777777" w:rsidR="00E30B72" w:rsidRDefault="00E30B72" w:rsidP="008477F9">
            <w:pPr>
              <w:spacing w:before="360" w:after="0"/>
              <w:ind w:left="540" w:right="120"/>
            </w:pPr>
            <w:proofErr w:type="gramStart"/>
            <w:r w:rsidRPr="00236F70">
              <w:rPr>
                <w:color w:val="C45911" w:themeColor="accent2" w:themeShade="BF"/>
                <w:sz w:val="34"/>
                <w:szCs w:val="34"/>
              </w:rPr>
              <w:t>Critico  54</w:t>
            </w:r>
            <w:proofErr w:type="gramEnd"/>
            <w:r w:rsidRPr="00236F70">
              <w:rPr>
                <w:color w:val="C45911" w:themeColor="accent2" w:themeShade="BF"/>
                <w:sz w:val="34"/>
                <w:szCs w:val="34"/>
              </w:rPr>
              <w:t>%</w:t>
            </w:r>
          </w:p>
        </w:tc>
        <w:tc>
          <w:tcPr>
            <w:tcW w:w="4000" w:type="dxa"/>
          </w:tcPr>
          <w:p w14:paraId="4AF78C50" w14:textId="77777777" w:rsidR="00E30B72" w:rsidRDefault="00E30B72" w:rsidP="008477F9">
            <w:r>
              <w:rPr>
                <w:noProof/>
              </w:rPr>
              <w:drawing>
                <wp:inline distT="0" distB="0" distL="0" distR="0" wp14:anchorId="53182D13" wp14:editId="618606DF">
                  <wp:extent cx="720000" cy="720000"/>
                  <wp:effectExtent l="0" t="0" r="0" b="0"/>
                  <wp:docPr id="20" name="Chart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tbl>
      <w:tblPr>
        <w:tblStyle w:val="Tabelle"/>
        <w:tblW w:w="0" w:type="auto"/>
        <w:tblInd w:w="0" w:type="dxa"/>
        <w:tblLook w:val="04A0" w:firstRow="1" w:lastRow="0" w:firstColumn="1" w:lastColumn="0" w:noHBand="0" w:noVBand="1"/>
      </w:tblPr>
      <w:tblGrid>
        <w:gridCol w:w="7867"/>
        <w:gridCol w:w="1769"/>
      </w:tblGrid>
      <w:tr w:rsidR="00E30B72" w14:paraId="6B1D08C4" w14:textId="77777777" w:rsidTr="008477F9">
        <w:trPr>
          <w:cnfStyle w:val="100000000000" w:firstRow="1" w:lastRow="0" w:firstColumn="0" w:lastColumn="0" w:oddVBand="0" w:evenVBand="0" w:oddHBand="0" w:evenHBand="0" w:firstRowFirstColumn="0" w:firstRowLastColumn="0" w:lastRowFirstColumn="0" w:lastRowLastColumn="0"/>
        </w:trPr>
        <w:tc>
          <w:tcPr>
            <w:tcW w:w="9900" w:type="dxa"/>
          </w:tcPr>
          <w:p w14:paraId="344AC9C2" w14:textId="77777777" w:rsidR="00E30B72" w:rsidRDefault="00E30B72" w:rsidP="008477F9">
            <w:pPr>
              <w:spacing w:after="0"/>
              <w:jc w:val="center"/>
            </w:pPr>
            <w:r>
              <w:rPr>
                <w:b/>
                <w:bCs/>
              </w:rPr>
              <w:t>Campo</w:t>
            </w:r>
          </w:p>
        </w:tc>
        <w:tc>
          <w:tcPr>
            <w:tcW w:w="900" w:type="dxa"/>
          </w:tcPr>
          <w:p w14:paraId="342ADAEA" w14:textId="77777777" w:rsidR="00E30B72" w:rsidRDefault="00E30B72" w:rsidP="008477F9">
            <w:pPr>
              <w:spacing w:after="0"/>
              <w:jc w:val="center"/>
            </w:pPr>
            <w:r>
              <w:rPr>
                <w:b/>
                <w:bCs/>
              </w:rPr>
              <w:t>Valore</w:t>
            </w:r>
          </w:p>
        </w:tc>
      </w:tr>
      <w:tr w:rsidR="00E30B72" w14:paraId="2B451D3D" w14:textId="77777777" w:rsidTr="008477F9">
        <w:tc>
          <w:tcPr>
            <w:tcW w:w="2000" w:type="dxa"/>
          </w:tcPr>
          <w:p w14:paraId="53E6252A" w14:textId="77777777" w:rsidR="00E30B72" w:rsidRDefault="00E30B72" w:rsidP="008477F9">
            <w:pPr>
              <w:spacing w:after="0"/>
            </w:pPr>
            <w:r>
              <w:t xml:space="preserve"> Spese per utenze</w:t>
            </w:r>
          </w:p>
        </w:tc>
        <w:tc>
          <w:tcPr>
            <w:tcW w:w="2000" w:type="dxa"/>
          </w:tcPr>
          <w:p w14:paraId="3F2C8DB5" w14:textId="77777777" w:rsidR="00E30B72" w:rsidRDefault="00E30B72" w:rsidP="008477F9">
            <w:pPr>
              <w:spacing w:after="0"/>
              <w:jc w:val="center"/>
            </w:pPr>
            <w:r>
              <w:t>36.000,00</w:t>
            </w:r>
          </w:p>
        </w:tc>
      </w:tr>
      <w:tr w:rsidR="00E30B72" w14:paraId="6560AEC7" w14:textId="77777777" w:rsidTr="008477F9">
        <w:tc>
          <w:tcPr>
            <w:tcW w:w="2000" w:type="dxa"/>
          </w:tcPr>
          <w:p w14:paraId="157F87C0" w14:textId="77777777" w:rsidR="00E30B72" w:rsidRDefault="00E30B72" w:rsidP="008477F9">
            <w:pPr>
              <w:spacing w:after="0"/>
            </w:pPr>
            <w:r>
              <w:t xml:space="preserve"> Locazioni</w:t>
            </w:r>
          </w:p>
        </w:tc>
        <w:tc>
          <w:tcPr>
            <w:tcW w:w="2000" w:type="dxa"/>
          </w:tcPr>
          <w:p w14:paraId="58879B61" w14:textId="77777777" w:rsidR="00E30B72" w:rsidRDefault="00E30B72" w:rsidP="008477F9">
            <w:pPr>
              <w:spacing w:after="0"/>
              <w:jc w:val="center"/>
            </w:pPr>
            <w:r>
              <w:t>27.000,00</w:t>
            </w:r>
          </w:p>
        </w:tc>
      </w:tr>
      <w:tr w:rsidR="00E30B72" w14:paraId="018E8D13" w14:textId="77777777" w:rsidTr="008477F9">
        <w:tc>
          <w:tcPr>
            <w:tcW w:w="2000" w:type="dxa"/>
          </w:tcPr>
          <w:p w14:paraId="491E00A1" w14:textId="77777777" w:rsidR="00E30B72" w:rsidRDefault="00E30B72" w:rsidP="008477F9">
            <w:pPr>
              <w:spacing w:after="0"/>
            </w:pPr>
            <w:r>
              <w:t xml:space="preserve"> Interessi passivi</w:t>
            </w:r>
          </w:p>
        </w:tc>
        <w:tc>
          <w:tcPr>
            <w:tcW w:w="2000" w:type="dxa"/>
          </w:tcPr>
          <w:p w14:paraId="1F0AEF64" w14:textId="77777777" w:rsidR="00E30B72" w:rsidRDefault="00E30B72" w:rsidP="008477F9">
            <w:pPr>
              <w:spacing w:after="0"/>
              <w:jc w:val="center"/>
            </w:pPr>
            <w:r>
              <w:t>17.000,00</w:t>
            </w:r>
          </w:p>
        </w:tc>
      </w:tr>
      <w:tr w:rsidR="00E30B72" w14:paraId="6FC7B0DD" w14:textId="77777777" w:rsidTr="008477F9">
        <w:tc>
          <w:tcPr>
            <w:tcW w:w="2000" w:type="dxa"/>
          </w:tcPr>
          <w:p w14:paraId="54C6B8CA" w14:textId="77777777" w:rsidR="00E30B72" w:rsidRDefault="00E30B72" w:rsidP="008477F9">
            <w:pPr>
              <w:spacing w:after="0"/>
            </w:pPr>
            <w:r>
              <w:t xml:space="preserve"> Imposte</w:t>
            </w:r>
          </w:p>
        </w:tc>
        <w:tc>
          <w:tcPr>
            <w:tcW w:w="2000" w:type="dxa"/>
          </w:tcPr>
          <w:p w14:paraId="66AC01A3" w14:textId="77777777" w:rsidR="00E30B72" w:rsidRDefault="00E30B72" w:rsidP="008477F9">
            <w:pPr>
              <w:spacing w:after="0"/>
              <w:jc w:val="center"/>
            </w:pPr>
            <w:r>
              <w:t>2.600,00</w:t>
            </w:r>
          </w:p>
        </w:tc>
      </w:tr>
      <w:tr w:rsidR="00E30B72" w14:paraId="10C4D26C" w14:textId="77777777" w:rsidTr="008477F9">
        <w:tc>
          <w:tcPr>
            <w:tcW w:w="2000" w:type="dxa"/>
          </w:tcPr>
          <w:p w14:paraId="5AD908A4" w14:textId="77777777" w:rsidR="00E30B72" w:rsidRDefault="00E30B72" w:rsidP="008477F9">
            <w:pPr>
              <w:spacing w:after="0"/>
            </w:pPr>
            <w:r>
              <w:t xml:space="preserve"> Ammortamenti annuali</w:t>
            </w:r>
          </w:p>
        </w:tc>
        <w:tc>
          <w:tcPr>
            <w:tcW w:w="2000" w:type="dxa"/>
          </w:tcPr>
          <w:p w14:paraId="532D6D3E" w14:textId="77777777" w:rsidR="00E30B72" w:rsidRDefault="00E30B72" w:rsidP="008477F9">
            <w:pPr>
              <w:spacing w:after="0"/>
              <w:jc w:val="center"/>
            </w:pPr>
            <w:r>
              <w:t>39.625,00</w:t>
            </w:r>
          </w:p>
        </w:tc>
      </w:tr>
      <w:tr w:rsidR="00E30B72" w14:paraId="6C609F64" w14:textId="77777777" w:rsidTr="008477F9">
        <w:tc>
          <w:tcPr>
            <w:tcW w:w="2000" w:type="dxa"/>
          </w:tcPr>
          <w:p w14:paraId="69C9261D" w14:textId="77777777" w:rsidR="00E30B72" w:rsidRDefault="00E30B72" w:rsidP="008477F9">
            <w:pPr>
              <w:spacing w:after="0"/>
            </w:pPr>
            <w:r>
              <w:t xml:space="preserve"> Spese per professionisti</w:t>
            </w:r>
          </w:p>
        </w:tc>
        <w:tc>
          <w:tcPr>
            <w:tcW w:w="2000" w:type="dxa"/>
          </w:tcPr>
          <w:p w14:paraId="64C81F2B" w14:textId="77777777" w:rsidR="00E30B72" w:rsidRDefault="00E30B72" w:rsidP="008477F9">
            <w:pPr>
              <w:spacing w:after="0"/>
              <w:jc w:val="center"/>
            </w:pPr>
            <w:r>
              <w:t>55.000,00</w:t>
            </w:r>
          </w:p>
        </w:tc>
      </w:tr>
      <w:tr w:rsidR="00E30B72" w14:paraId="3FFD01BB" w14:textId="77777777" w:rsidTr="008477F9">
        <w:tc>
          <w:tcPr>
            <w:tcW w:w="2000" w:type="dxa"/>
          </w:tcPr>
          <w:p w14:paraId="51CFB950" w14:textId="77777777" w:rsidR="00E30B72" w:rsidRDefault="00E30B72" w:rsidP="008477F9">
            <w:pPr>
              <w:spacing w:after="0"/>
            </w:pPr>
            <w:r>
              <w:t xml:space="preserve"> Altri costi indiretti</w:t>
            </w:r>
          </w:p>
        </w:tc>
        <w:tc>
          <w:tcPr>
            <w:tcW w:w="2000" w:type="dxa"/>
          </w:tcPr>
          <w:p w14:paraId="290500D0" w14:textId="77777777" w:rsidR="00E30B72" w:rsidRDefault="00E30B72" w:rsidP="008477F9">
            <w:pPr>
              <w:spacing w:after="0"/>
              <w:jc w:val="center"/>
            </w:pPr>
            <w:r>
              <w:t>228.000,00</w:t>
            </w:r>
          </w:p>
        </w:tc>
      </w:tr>
      <w:tr w:rsidR="00E30B72" w14:paraId="68A074AD" w14:textId="77777777" w:rsidTr="008477F9">
        <w:tc>
          <w:tcPr>
            <w:tcW w:w="2000" w:type="dxa"/>
          </w:tcPr>
          <w:p w14:paraId="6838386D" w14:textId="77777777" w:rsidR="00E30B72" w:rsidRDefault="00E30B72" w:rsidP="008477F9">
            <w:pPr>
              <w:spacing w:after="0"/>
            </w:pPr>
            <w:r>
              <w:t xml:space="preserve"> Numero dipendenti</w:t>
            </w:r>
          </w:p>
        </w:tc>
        <w:tc>
          <w:tcPr>
            <w:tcW w:w="2000" w:type="dxa"/>
          </w:tcPr>
          <w:p w14:paraId="4FD9911A" w14:textId="77777777" w:rsidR="00E30B72" w:rsidRDefault="00E30B72" w:rsidP="008477F9">
            <w:pPr>
              <w:spacing w:after="0"/>
              <w:jc w:val="center"/>
            </w:pPr>
            <w:r>
              <w:t>23,00</w:t>
            </w:r>
          </w:p>
        </w:tc>
      </w:tr>
      <w:tr w:rsidR="00E30B72" w14:paraId="537677CF" w14:textId="77777777" w:rsidTr="008477F9">
        <w:tc>
          <w:tcPr>
            <w:tcW w:w="2000" w:type="dxa"/>
          </w:tcPr>
          <w:p w14:paraId="6EA8EFB4" w14:textId="77777777" w:rsidR="00E30B72" w:rsidRDefault="00E30B72" w:rsidP="008477F9">
            <w:pPr>
              <w:spacing w:after="0"/>
            </w:pPr>
            <w:r>
              <w:t xml:space="preserve"> Numero giorni lavorativi in un anno</w:t>
            </w:r>
          </w:p>
        </w:tc>
        <w:tc>
          <w:tcPr>
            <w:tcW w:w="2000" w:type="dxa"/>
          </w:tcPr>
          <w:p w14:paraId="6200CAF1" w14:textId="77777777" w:rsidR="00E30B72" w:rsidRDefault="00E30B72" w:rsidP="008477F9">
            <w:pPr>
              <w:spacing w:after="0"/>
              <w:jc w:val="center"/>
            </w:pPr>
            <w:r>
              <w:t>300,00</w:t>
            </w:r>
          </w:p>
        </w:tc>
      </w:tr>
      <w:tr w:rsidR="00E30B72" w14:paraId="05C64CE2" w14:textId="77777777" w:rsidTr="008477F9">
        <w:tc>
          <w:tcPr>
            <w:tcW w:w="2000" w:type="dxa"/>
          </w:tcPr>
          <w:p w14:paraId="02DF2E7F" w14:textId="77777777" w:rsidR="00E30B72" w:rsidRDefault="00E30B72" w:rsidP="008477F9">
            <w:pPr>
              <w:spacing w:after="0"/>
            </w:pPr>
            <w:r>
              <w:t xml:space="preserve"> Costo annuo di un dipendente</w:t>
            </w:r>
          </w:p>
        </w:tc>
        <w:tc>
          <w:tcPr>
            <w:tcW w:w="2000" w:type="dxa"/>
          </w:tcPr>
          <w:p w14:paraId="47078000" w14:textId="77777777" w:rsidR="00E30B72" w:rsidRDefault="00E30B72" w:rsidP="008477F9">
            <w:pPr>
              <w:spacing w:after="0"/>
              <w:jc w:val="center"/>
            </w:pPr>
            <w:r>
              <w:t>26.000,00</w:t>
            </w:r>
          </w:p>
        </w:tc>
      </w:tr>
      <w:tr w:rsidR="00E30B72" w14:paraId="0D50BE28" w14:textId="77777777" w:rsidTr="008477F9">
        <w:tc>
          <w:tcPr>
            <w:tcW w:w="2000" w:type="dxa"/>
          </w:tcPr>
          <w:p w14:paraId="23802C28" w14:textId="77777777" w:rsidR="00E30B72" w:rsidRDefault="00E30B72" w:rsidP="008477F9">
            <w:pPr>
              <w:spacing w:after="0"/>
            </w:pPr>
            <w:r>
              <w:t xml:space="preserve"> Margine di contribuzione mensile</w:t>
            </w:r>
          </w:p>
        </w:tc>
        <w:tc>
          <w:tcPr>
            <w:tcW w:w="2000" w:type="dxa"/>
          </w:tcPr>
          <w:p w14:paraId="072ABAE6" w14:textId="77777777" w:rsidR="00E30B72" w:rsidRDefault="00E30B72" w:rsidP="008477F9">
            <w:pPr>
              <w:spacing w:after="0"/>
              <w:jc w:val="center"/>
            </w:pPr>
            <w:r>
              <w:t>74.286,00</w:t>
            </w:r>
          </w:p>
        </w:tc>
      </w:tr>
      <w:tr w:rsidR="00E30B72" w14:paraId="0B7FDFCD" w14:textId="77777777" w:rsidTr="008477F9">
        <w:tc>
          <w:tcPr>
            <w:tcW w:w="2000" w:type="dxa"/>
          </w:tcPr>
          <w:p w14:paraId="6D9BCBA3" w14:textId="77777777" w:rsidR="00E30B72" w:rsidRDefault="00E30B72" w:rsidP="008477F9">
            <w:pPr>
              <w:spacing w:after="0"/>
            </w:pPr>
            <w:r>
              <w:rPr>
                <w:b/>
                <w:bCs/>
              </w:rPr>
              <w:t xml:space="preserve"> COSTO GIORNALIERO AZIENDALE ATTUALE CON IL BUDGET DINAMICO A 12 MESI</w:t>
            </w:r>
          </w:p>
        </w:tc>
        <w:tc>
          <w:tcPr>
            <w:tcW w:w="2000" w:type="dxa"/>
          </w:tcPr>
          <w:p w14:paraId="0CE01485" w14:textId="77777777" w:rsidR="00E30B72" w:rsidRDefault="00E30B72" w:rsidP="008477F9">
            <w:pPr>
              <w:spacing w:after="0"/>
              <w:jc w:val="center"/>
            </w:pPr>
            <w:r>
              <w:rPr>
                <w:b/>
                <w:bCs/>
              </w:rPr>
              <w:t>3.344,08 €</w:t>
            </w:r>
          </w:p>
        </w:tc>
      </w:tr>
      <w:tr w:rsidR="00E30B72" w14:paraId="5DAB4058" w14:textId="77777777" w:rsidTr="008477F9">
        <w:tc>
          <w:tcPr>
            <w:tcW w:w="2000" w:type="dxa"/>
          </w:tcPr>
          <w:p w14:paraId="43B978C4" w14:textId="77777777" w:rsidR="00E30B72" w:rsidRDefault="00E30B72" w:rsidP="008477F9">
            <w:pPr>
              <w:spacing w:after="0"/>
            </w:pPr>
            <w:r>
              <w:rPr>
                <w:b/>
                <w:bCs/>
              </w:rPr>
              <w:t xml:space="preserve"> PERDITA DI PERIODO</w:t>
            </w:r>
          </w:p>
        </w:tc>
        <w:tc>
          <w:tcPr>
            <w:tcW w:w="2000" w:type="dxa"/>
          </w:tcPr>
          <w:p w14:paraId="3D5AC102" w14:textId="77777777" w:rsidR="00E30B72" w:rsidRDefault="00E30B72" w:rsidP="008477F9">
            <w:pPr>
              <w:spacing w:after="0"/>
              <w:jc w:val="center"/>
            </w:pPr>
            <w:r>
              <w:rPr>
                <w:b/>
                <w:bCs/>
              </w:rPr>
              <w:t>9.316,08 €</w:t>
            </w:r>
          </w:p>
        </w:tc>
      </w:tr>
    </w:tbl>
    <w:p w14:paraId="0DD048E9" w14:textId="77777777" w:rsidR="00E30B72" w:rsidRDefault="00E30B72" w:rsidP="00E30B72">
      <w:r>
        <w:rPr>
          <w:color w:val="FF0000"/>
        </w:rPr>
        <w:t>Il tuo margine di contribuzione non copre i costi indiretti mensili! Hai troppi dipendenti per la tua azienda.</w:t>
      </w:r>
    </w:p>
    <w:tbl>
      <w:tblPr>
        <w:tblStyle w:val="Tabelle"/>
        <w:tblW w:w="0" w:type="auto"/>
        <w:tblInd w:w="0" w:type="dxa"/>
        <w:tblLook w:val="04A0" w:firstRow="1" w:lastRow="0" w:firstColumn="1" w:lastColumn="0" w:noHBand="0" w:noVBand="1"/>
      </w:tblPr>
      <w:tblGrid>
        <w:gridCol w:w="7956"/>
        <w:gridCol w:w="1680"/>
      </w:tblGrid>
      <w:tr w:rsidR="00E30B72" w14:paraId="36F1A236" w14:textId="77777777" w:rsidTr="008477F9">
        <w:trPr>
          <w:cnfStyle w:val="100000000000" w:firstRow="1" w:lastRow="0" w:firstColumn="0" w:lastColumn="0" w:oddVBand="0" w:evenVBand="0" w:oddHBand="0" w:evenHBand="0" w:firstRowFirstColumn="0" w:firstRowLastColumn="0" w:lastRowFirstColumn="0" w:lastRowLastColumn="0"/>
        </w:trPr>
        <w:tc>
          <w:tcPr>
            <w:tcW w:w="9900" w:type="dxa"/>
          </w:tcPr>
          <w:p w14:paraId="0A89DD6D" w14:textId="77777777" w:rsidR="00E30B72" w:rsidRDefault="00E30B72" w:rsidP="008477F9">
            <w:pPr>
              <w:spacing w:after="0"/>
              <w:jc w:val="center"/>
            </w:pPr>
            <w:r>
              <w:rPr>
                <w:b/>
                <w:bCs/>
              </w:rPr>
              <w:t>Campo</w:t>
            </w:r>
          </w:p>
        </w:tc>
        <w:tc>
          <w:tcPr>
            <w:tcW w:w="900" w:type="dxa"/>
          </w:tcPr>
          <w:p w14:paraId="66005CB6" w14:textId="77777777" w:rsidR="00E30B72" w:rsidRDefault="00E30B72" w:rsidP="008477F9">
            <w:pPr>
              <w:spacing w:after="0"/>
              <w:jc w:val="center"/>
            </w:pPr>
            <w:r>
              <w:rPr>
                <w:b/>
                <w:bCs/>
              </w:rPr>
              <w:t>Valore</w:t>
            </w:r>
          </w:p>
        </w:tc>
      </w:tr>
      <w:tr w:rsidR="00E30B72" w14:paraId="48B46BC2" w14:textId="77777777" w:rsidTr="008477F9">
        <w:tc>
          <w:tcPr>
            <w:tcW w:w="2000" w:type="dxa"/>
          </w:tcPr>
          <w:p w14:paraId="6EE8C143" w14:textId="77777777" w:rsidR="00E30B72" w:rsidRDefault="00E30B72" w:rsidP="008477F9">
            <w:pPr>
              <w:spacing w:after="0"/>
            </w:pPr>
            <w:r>
              <w:rPr>
                <w:b/>
                <w:bCs/>
              </w:rPr>
              <w:t xml:space="preserve"> MARGINE DI CONTRIBUZIONE PER ADDETTO</w:t>
            </w:r>
          </w:p>
        </w:tc>
        <w:tc>
          <w:tcPr>
            <w:tcW w:w="2000" w:type="dxa"/>
          </w:tcPr>
          <w:p w14:paraId="724B2AC3" w14:textId="77777777" w:rsidR="00E30B72" w:rsidRDefault="00E30B72" w:rsidP="008477F9">
            <w:pPr>
              <w:spacing w:after="0"/>
              <w:jc w:val="center"/>
            </w:pPr>
            <w:r>
              <w:rPr>
                <w:b/>
                <w:bCs/>
              </w:rPr>
              <w:t>60%</w:t>
            </w:r>
          </w:p>
        </w:tc>
      </w:tr>
    </w:tbl>
    <w:p w14:paraId="4C96C120" w14:textId="77777777" w:rsidR="00E30B72" w:rsidRPr="00236F70" w:rsidRDefault="00E30B72" w:rsidP="00E30B72">
      <w:pPr>
        <w:rPr>
          <w:color w:val="C45911" w:themeColor="accent2" w:themeShade="BF"/>
        </w:rPr>
      </w:pPr>
      <w:r w:rsidRPr="00236F70">
        <w:rPr>
          <w:color w:val="C45911" w:themeColor="accent2" w:themeShade="BF"/>
        </w:rPr>
        <w:t xml:space="preserve">La tua redditività è negativa ed inefficiente le possibili soluzioni che puoi attuare </w:t>
      </w:r>
      <w:proofErr w:type="gramStart"/>
      <w:r w:rsidRPr="00236F70">
        <w:rPr>
          <w:color w:val="C45911" w:themeColor="accent2" w:themeShade="BF"/>
        </w:rPr>
        <w:t>sono:-</w:t>
      </w:r>
      <w:proofErr w:type="gramEnd"/>
      <w:r w:rsidRPr="00236F70">
        <w:rPr>
          <w:color w:val="C45911" w:themeColor="accent2" w:themeShade="BF"/>
        </w:rPr>
        <w:t xml:space="preserve"> a parità di margine di contribuzione, diminuire il numero di collaboratori fino a renderlo compatibile con il margine di contribuzione; - a parità di numero di collaboratori, aumentare il margine di contribuzione.</w:t>
      </w:r>
    </w:p>
    <w:p w14:paraId="0B9FFE4E" w14:textId="77777777" w:rsidR="00E30B72" w:rsidRDefault="00E30B72" w:rsidP="00E30B72"/>
    <w:p w14:paraId="07B514BD" w14:textId="2E5078C0" w:rsidR="0086402E" w:rsidRDefault="0086402E" w:rsidP="00E30B72">
      <w:r w:rsidRPr="0086402E">
        <w:rPr>
          <w:noProof/>
        </w:rPr>
        <w:drawing>
          <wp:inline distT="0" distB="0" distL="0" distR="0" wp14:anchorId="2C515A6D" wp14:editId="1A7BCCE2">
            <wp:extent cx="6442075" cy="3420745"/>
            <wp:effectExtent l="0" t="0" r="0" b="8255"/>
            <wp:docPr id="11089821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42075" cy="3420745"/>
                    </a:xfrm>
                    <a:prstGeom prst="rect">
                      <a:avLst/>
                    </a:prstGeom>
                    <a:noFill/>
                    <a:ln>
                      <a:noFill/>
                    </a:ln>
                  </pic:spPr>
                </pic:pic>
              </a:graphicData>
            </a:graphic>
          </wp:inline>
        </w:drawing>
      </w:r>
    </w:p>
    <w:tbl>
      <w:tblPr>
        <w:tblStyle w:val="Tabelle"/>
        <w:tblW w:w="0" w:type="auto"/>
        <w:tblInd w:w="0" w:type="dxa"/>
        <w:tblLook w:val="04A0" w:firstRow="1" w:lastRow="0" w:firstColumn="1" w:lastColumn="0" w:noHBand="0" w:noVBand="1"/>
      </w:tblPr>
      <w:tblGrid>
        <w:gridCol w:w="7865"/>
        <w:gridCol w:w="1771"/>
      </w:tblGrid>
      <w:tr w:rsidR="00E30B72" w14:paraId="49F20586" w14:textId="77777777" w:rsidTr="0086402E">
        <w:trPr>
          <w:cnfStyle w:val="100000000000" w:firstRow="1" w:lastRow="0" w:firstColumn="0" w:lastColumn="0" w:oddVBand="0" w:evenVBand="0" w:oddHBand="0" w:evenHBand="0" w:firstRowFirstColumn="0" w:firstRowLastColumn="0" w:lastRowFirstColumn="0" w:lastRowLastColumn="0"/>
        </w:trPr>
        <w:tc>
          <w:tcPr>
            <w:tcW w:w="7865" w:type="dxa"/>
          </w:tcPr>
          <w:p w14:paraId="7FD86B99" w14:textId="77777777" w:rsidR="00E30B72" w:rsidRDefault="00E30B72" w:rsidP="008477F9">
            <w:pPr>
              <w:spacing w:after="0"/>
              <w:jc w:val="center"/>
            </w:pPr>
            <w:r>
              <w:rPr>
                <w:b/>
                <w:bCs/>
              </w:rPr>
              <w:lastRenderedPageBreak/>
              <w:t>Campo</w:t>
            </w:r>
          </w:p>
        </w:tc>
        <w:tc>
          <w:tcPr>
            <w:tcW w:w="1771" w:type="dxa"/>
          </w:tcPr>
          <w:p w14:paraId="2CA4D0FB" w14:textId="77777777" w:rsidR="00E30B72" w:rsidRDefault="00E30B72" w:rsidP="008477F9">
            <w:pPr>
              <w:spacing w:after="0"/>
              <w:jc w:val="center"/>
            </w:pPr>
            <w:r>
              <w:rPr>
                <w:b/>
                <w:bCs/>
              </w:rPr>
              <w:t>Valore</w:t>
            </w:r>
          </w:p>
        </w:tc>
      </w:tr>
      <w:tr w:rsidR="00E30B72" w14:paraId="2D5FCAAA" w14:textId="77777777" w:rsidTr="0086402E">
        <w:tc>
          <w:tcPr>
            <w:tcW w:w="7865" w:type="dxa"/>
          </w:tcPr>
          <w:p w14:paraId="64CAC570" w14:textId="77777777" w:rsidR="00E30B72" w:rsidRDefault="00E30B72" w:rsidP="008477F9">
            <w:pPr>
              <w:spacing w:after="0"/>
            </w:pPr>
            <w:r>
              <w:t xml:space="preserve"> Ricavi insoluti ultimo mese</w:t>
            </w:r>
          </w:p>
        </w:tc>
        <w:tc>
          <w:tcPr>
            <w:tcW w:w="1771" w:type="dxa"/>
          </w:tcPr>
          <w:p w14:paraId="520538C5" w14:textId="77777777" w:rsidR="00E30B72" w:rsidRDefault="00E30B72" w:rsidP="008477F9">
            <w:pPr>
              <w:spacing w:after="0"/>
              <w:jc w:val="center"/>
            </w:pPr>
            <w:r>
              <w:t>0,00</w:t>
            </w:r>
          </w:p>
        </w:tc>
      </w:tr>
      <w:tr w:rsidR="00E30B72" w14:paraId="5AA994BE" w14:textId="77777777" w:rsidTr="0086402E">
        <w:tc>
          <w:tcPr>
            <w:tcW w:w="7865" w:type="dxa"/>
          </w:tcPr>
          <w:p w14:paraId="4EEEA137" w14:textId="77777777" w:rsidR="00E30B72" w:rsidRDefault="00E30B72" w:rsidP="008477F9">
            <w:pPr>
              <w:spacing w:after="0"/>
            </w:pPr>
            <w:r>
              <w:t xml:space="preserve"> Ricavi totali ultimo mese</w:t>
            </w:r>
          </w:p>
        </w:tc>
        <w:tc>
          <w:tcPr>
            <w:tcW w:w="1771" w:type="dxa"/>
          </w:tcPr>
          <w:p w14:paraId="33ABA36E" w14:textId="77777777" w:rsidR="00E30B72" w:rsidRDefault="00E30B72" w:rsidP="008477F9">
            <w:pPr>
              <w:spacing w:after="0"/>
              <w:jc w:val="center"/>
            </w:pPr>
            <w:r>
              <w:t>200.000,00</w:t>
            </w:r>
          </w:p>
        </w:tc>
      </w:tr>
      <w:tr w:rsidR="00E30B72" w14:paraId="180D591A" w14:textId="77777777" w:rsidTr="0086402E">
        <w:tc>
          <w:tcPr>
            <w:tcW w:w="7865" w:type="dxa"/>
          </w:tcPr>
          <w:p w14:paraId="36BC1870" w14:textId="77777777" w:rsidR="00E30B72" w:rsidRDefault="00E30B72" w:rsidP="008477F9">
            <w:pPr>
              <w:spacing w:after="0"/>
            </w:pPr>
            <w:r>
              <w:rPr>
                <w:b/>
                <w:bCs/>
              </w:rPr>
              <w:t xml:space="preserve"> QUALITÀ RISCOSSIONI</w:t>
            </w:r>
          </w:p>
        </w:tc>
        <w:tc>
          <w:tcPr>
            <w:tcW w:w="1771" w:type="dxa"/>
          </w:tcPr>
          <w:p w14:paraId="69024B3D" w14:textId="77777777" w:rsidR="00E30B72" w:rsidRDefault="00E30B72" w:rsidP="008477F9">
            <w:pPr>
              <w:spacing w:after="0"/>
              <w:jc w:val="center"/>
            </w:pPr>
            <w:r>
              <w:rPr>
                <w:b/>
                <w:bCs/>
              </w:rPr>
              <w:t>100%</w:t>
            </w:r>
          </w:p>
        </w:tc>
      </w:tr>
    </w:tbl>
    <w:p w14:paraId="531FEA2C" w14:textId="77777777" w:rsidR="00E30B72" w:rsidRDefault="00E30B72" w:rsidP="00E30B72">
      <w:pPr>
        <w:rPr>
          <w:color w:val="008000"/>
        </w:rPr>
      </w:pPr>
      <w:r>
        <w:rPr>
          <w:color w:val="008000"/>
        </w:rPr>
        <w:t>La percentuale di insoluti è nella norma. L'amministrazione della tua azienda sta lavorando bene. Si deve continuare a prestare la massima attenzione nella selezione dei clienti, nella contrattualizzazione degli accordi e nella comunicazione con i clienti durante i processi di vendita e fatturazione</w:t>
      </w:r>
    </w:p>
    <w:p w14:paraId="63818CD8" w14:textId="77777777" w:rsidR="001B6827" w:rsidRDefault="001B6827" w:rsidP="00E30B72"/>
    <w:tbl>
      <w:tblPr>
        <w:tblStyle w:val="Tabelle"/>
        <w:tblW w:w="0" w:type="auto"/>
        <w:tblInd w:w="0" w:type="dxa"/>
        <w:tblLook w:val="04A0" w:firstRow="1" w:lastRow="0" w:firstColumn="1" w:lastColumn="0" w:noHBand="0" w:noVBand="1"/>
      </w:tblPr>
      <w:tblGrid>
        <w:gridCol w:w="7983"/>
        <w:gridCol w:w="1653"/>
      </w:tblGrid>
      <w:tr w:rsidR="00E30B72" w14:paraId="6C499712" w14:textId="77777777" w:rsidTr="008477F9">
        <w:trPr>
          <w:cnfStyle w:val="100000000000" w:firstRow="1" w:lastRow="0" w:firstColumn="0" w:lastColumn="0" w:oddVBand="0" w:evenVBand="0" w:oddHBand="0" w:evenHBand="0" w:firstRowFirstColumn="0" w:firstRowLastColumn="0" w:lastRowFirstColumn="0" w:lastRowLastColumn="0"/>
        </w:trPr>
        <w:tc>
          <w:tcPr>
            <w:tcW w:w="9900" w:type="dxa"/>
          </w:tcPr>
          <w:p w14:paraId="0A678EE0" w14:textId="77777777" w:rsidR="00E30B72" w:rsidRDefault="00E30B72" w:rsidP="008477F9">
            <w:pPr>
              <w:spacing w:after="0"/>
              <w:jc w:val="center"/>
            </w:pPr>
            <w:r>
              <w:rPr>
                <w:b/>
                <w:bCs/>
              </w:rPr>
              <w:t>Campo</w:t>
            </w:r>
          </w:p>
        </w:tc>
        <w:tc>
          <w:tcPr>
            <w:tcW w:w="900" w:type="dxa"/>
          </w:tcPr>
          <w:p w14:paraId="41E0E8A3" w14:textId="77777777" w:rsidR="00E30B72" w:rsidRDefault="00E30B72" w:rsidP="008477F9">
            <w:pPr>
              <w:spacing w:after="0"/>
              <w:jc w:val="center"/>
            </w:pPr>
            <w:r>
              <w:rPr>
                <w:b/>
                <w:bCs/>
              </w:rPr>
              <w:t>Valore</w:t>
            </w:r>
          </w:p>
        </w:tc>
      </w:tr>
      <w:tr w:rsidR="00E30B72" w14:paraId="5CD25C70" w14:textId="77777777" w:rsidTr="008477F9">
        <w:tc>
          <w:tcPr>
            <w:tcW w:w="2000" w:type="dxa"/>
          </w:tcPr>
          <w:p w14:paraId="5E356FEB" w14:textId="77777777" w:rsidR="00E30B72" w:rsidRDefault="00E30B72" w:rsidP="008477F9">
            <w:pPr>
              <w:spacing w:after="0"/>
            </w:pPr>
            <w:r>
              <w:t xml:space="preserve"> N° consegne totali</w:t>
            </w:r>
          </w:p>
        </w:tc>
        <w:tc>
          <w:tcPr>
            <w:tcW w:w="2000" w:type="dxa"/>
          </w:tcPr>
          <w:p w14:paraId="4313773E" w14:textId="77777777" w:rsidR="00E30B72" w:rsidRDefault="00E30B72" w:rsidP="008477F9">
            <w:pPr>
              <w:spacing w:after="0"/>
              <w:jc w:val="center"/>
            </w:pPr>
            <w:r>
              <w:t>500,00</w:t>
            </w:r>
          </w:p>
        </w:tc>
      </w:tr>
      <w:tr w:rsidR="00E30B72" w14:paraId="75D08881" w14:textId="77777777" w:rsidTr="008477F9">
        <w:tc>
          <w:tcPr>
            <w:tcW w:w="2000" w:type="dxa"/>
          </w:tcPr>
          <w:p w14:paraId="0D312981" w14:textId="77777777" w:rsidR="00E30B72" w:rsidRDefault="00E30B72" w:rsidP="008477F9">
            <w:pPr>
              <w:spacing w:after="0"/>
            </w:pPr>
            <w:r>
              <w:t xml:space="preserve"> N° consegne non puntuali</w:t>
            </w:r>
          </w:p>
        </w:tc>
        <w:tc>
          <w:tcPr>
            <w:tcW w:w="2000" w:type="dxa"/>
          </w:tcPr>
          <w:p w14:paraId="3211F429" w14:textId="77777777" w:rsidR="00E30B72" w:rsidRDefault="00E30B72" w:rsidP="008477F9">
            <w:pPr>
              <w:spacing w:after="0"/>
              <w:jc w:val="center"/>
            </w:pPr>
            <w:r>
              <w:t>150,00</w:t>
            </w:r>
          </w:p>
        </w:tc>
      </w:tr>
      <w:tr w:rsidR="00E30B72" w14:paraId="1101A24F" w14:textId="77777777" w:rsidTr="008477F9">
        <w:tc>
          <w:tcPr>
            <w:tcW w:w="2000" w:type="dxa"/>
          </w:tcPr>
          <w:p w14:paraId="5C11C53B" w14:textId="77777777" w:rsidR="00E30B72" w:rsidRDefault="00E30B72" w:rsidP="008477F9">
            <w:pPr>
              <w:spacing w:after="0"/>
            </w:pPr>
            <w:r>
              <w:t xml:space="preserve"> N° consegne non conformi</w:t>
            </w:r>
          </w:p>
        </w:tc>
        <w:tc>
          <w:tcPr>
            <w:tcW w:w="2000" w:type="dxa"/>
          </w:tcPr>
          <w:p w14:paraId="30C858C1" w14:textId="77777777" w:rsidR="00E30B72" w:rsidRDefault="00E30B72" w:rsidP="008477F9">
            <w:pPr>
              <w:spacing w:after="0"/>
              <w:jc w:val="center"/>
            </w:pPr>
            <w:r>
              <w:t>2,00</w:t>
            </w:r>
          </w:p>
        </w:tc>
      </w:tr>
      <w:tr w:rsidR="00E30B72" w14:paraId="46B8F68B" w14:textId="77777777" w:rsidTr="008477F9">
        <w:tc>
          <w:tcPr>
            <w:tcW w:w="2000" w:type="dxa"/>
          </w:tcPr>
          <w:p w14:paraId="06BC5B0A" w14:textId="77777777" w:rsidR="00E30B72" w:rsidRDefault="00E30B72" w:rsidP="008477F9">
            <w:pPr>
              <w:spacing w:after="0"/>
            </w:pPr>
            <w:r>
              <w:rPr>
                <w:b/>
                <w:bCs/>
              </w:rPr>
              <w:t xml:space="preserve"> INDICE DI AFFIDABILITÀ AREA APPROVVIGIONAMENTO</w:t>
            </w:r>
          </w:p>
        </w:tc>
        <w:tc>
          <w:tcPr>
            <w:tcW w:w="2000" w:type="dxa"/>
          </w:tcPr>
          <w:p w14:paraId="02FD33CD" w14:textId="77777777" w:rsidR="00E30B72" w:rsidRDefault="00E30B72" w:rsidP="008477F9">
            <w:pPr>
              <w:spacing w:after="0"/>
              <w:jc w:val="center"/>
            </w:pPr>
            <w:r>
              <w:rPr>
                <w:b/>
                <w:bCs/>
              </w:rPr>
              <w:t>55%</w:t>
            </w:r>
          </w:p>
        </w:tc>
      </w:tr>
    </w:tbl>
    <w:p w14:paraId="40D71FBF" w14:textId="77777777" w:rsidR="00E30B72" w:rsidRPr="00236F70" w:rsidRDefault="00E30B72" w:rsidP="00E30B72">
      <w:pPr>
        <w:rPr>
          <w:color w:val="C45911" w:themeColor="accent2" w:themeShade="BF"/>
        </w:rPr>
      </w:pPr>
      <w:r w:rsidRPr="00236F70">
        <w:rPr>
          <w:color w:val="C45911" w:themeColor="accent2" w:themeShade="BF"/>
        </w:rPr>
        <w:t>Il processo di approvvigionamento non è pienamente efficiente. La qualità dei tuoi fornitori potrebbe non consentirti di rispettare gli impegni con i tuoi clienti e potrebbe limitare la qualità dei tuoi ricavi. Il parco fornitori potrebbe aver bisogno di un rinnovamento.</w:t>
      </w:r>
    </w:p>
    <w:p w14:paraId="6916F522" w14:textId="77777777" w:rsidR="00E30B72" w:rsidRDefault="00E30B72" w:rsidP="00E30B72"/>
    <w:tbl>
      <w:tblPr>
        <w:tblW w:w="0" w:type="auto"/>
        <w:tblInd w:w="10" w:type="dxa"/>
        <w:tblCellMar>
          <w:left w:w="10" w:type="dxa"/>
          <w:right w:w="10" w:type="dxa"/>
        </w:tblCellMar>
        <w:tblLook w:val="0000" w:firstRow="0" w:lastRow="0" w:firstColumn="0" w:lastColumn="0" w:noHBand="0" w:noVBand="0"/>
      </w:tblPr>
      <w:tblGrid>
        <w:gridCol w:w="5506"/>
        <w:gridCol w:w="2692"/>
        <w:gridCol w:w="1430"/>
      </w:tblGrid>
      <w:tr w:rsidR="00E30B72" w14:paraId="3C533F6A" w14:textId="77777777" w:rsidTr="00E30B72">
        <w:tc>
          <w:tcPr>
            <w:tcW w:w="5506" w:type="dxa"/>
          </w:tcPr>
          <w:p w14:paraId="79A2545F" w14:textId="77777777" w:rsidR="00E30B72" w:rsidRDefault="00E30B72" w:rsidP="008477F9">
            <w:pPr>
              <w:spacing w:before="360" w:after="0"/>
              <w:ind w:left="540" w:right="120"/>
            </w:pPr>
            <w:r>
              <w:rPr>
                <w:sz w:val="34"/>
                <w:szCs w:val="34"/>
              </w:rPr>
              <w:t>Area formazione e innovazione</w:t>
            </w:r>
          </w:p>
        </w:tc>
        <w:tc>
          <w:tcPr>
            <w:tcW w:w="2692" w:type="dxa"/>
          </w:tcPr>
          <w:p w14:paraId="638BCA3A" w14:textId="77777777" w:rsidR="00E30B72" w:rsidRDefault="00E30B72" w:rsidP="008477F9">
            <w:pPr>
              <w:spacing w:before="360" w:after="0"/>
              <w:ind w:left="540" w:right="120"/>
            </w:pPr>
            <w:proofErr w:type="gramStart"/>
            <w:r>
              <w:rPr>
                <w:color w:val="FFA500"/>
                <w:sz w:val="34"/>
                <w:szCs w:val="34"/>
              </w:rPr>
              <w:t>Critico  63</w:t>
            </w:r>
            <w:proofErr w:type="gramEnd"/>
            <w:r>
              <w:rPr>
                <w:color w:val="FFA500"/>
                <w:sz w:val="34"/>
                <w:szCs w:val="34"/>
              </w:rPr>
              <w:t>%</w:t>
            </w:r>
          </w:p>
        </w:tc>
        <w:tc>
          <w:tcPr>
            <w:tcW w:w="1430" w:type="dxa"/>
          </w:tcPr>
          <w:p w14:paraId="04DA0DE2" w14:textId="77777777" w:rsidR="00E30B72" w:rsidRDefault="00E30B72" w:rsidP="008477F9">
            <w:r>
              <w:rPr>
                <w:noProof/>
              </w:rPr>
              <w:drawing>
                <wp:inline distT="0" distB="0" distL="0" distR="0" wp14:anchorId="5064ADF8" wp14:editId="4172EE2B">
                  <wp:extent cx="720000" cy="720000"/>
                  <wp:effectExtent l="0" t="0" r="0" b="0"/>
                  <wp:docPr id="22" name="Chart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tbl>
      <w:tblPr>
        <w:tblStyle w:val="Tabelle"/>
        <w:tblW w:w="0" w:type="auto"/>
        <w:tblInd w:w="0" w:type="dxa"/>
        <w:tblLook w:val="04A0" w:firstRow="1" w:lastRow="0" w:firstColumn="1" w:lastColumn="0" w:noHBand="0" w:noVBand="1"/>
      </w:tblPr>
      <w:tblGrid>
        <w:gridCol w:w="7940"/>
        <w:gridCol w:w="1696"/>
      </w:tblGrid>
      <w:tr w:rsidR="00E30B72" w14:paraId="12A2A248" w14:textId="77777777" w:rsidTr="008477F9">
        <w:trPr>
          <w:cnfStyle w:val="100000000000" w:firstRow="1" w:lastRow="0" w:firstColumn="0" w:lastColumn="0" w:oddVBand="0" w:evenVBand="0" w:oddHBand="0" w:evenHBand="0" w:firstRowFirstColumn="0" w:firstRowLastColumn="0" w:lastRowFirstColumn="0" w:lastRowLastColumn="0"/>
        </w:trPr>
        <w:tc>
          <w:tcPr>
            <w:tcW w:w="9900" w:type="dxa"/>
          </w:tcPr>
          <w:p w14:paraId="60B494B5" w14:textId="77777777" w:rsidR="00E30B72" w:rsidRDefault="00E30B72" w:rsidP="008477F9">
            <w:pPr>
              <w:spacing w:after="0"/>
              <w:jc w:val="center"/>
            </w:pPr>
            <w:r>
              <w:rPr>
                <w:b/>
                <w:bCs/>
              </w:rPr>
              <w:t>Campo</w:t>
            </w:r>
          </w:p>
        </w:tc>
        <w:tc>
          <w:tcPr>
            <w:tcW w:w="900" w:type="dxa"/>
          </w:tcPr>
          <w:p w14:paraId="0AB9BD5F" w14:textId="77777777" w:rsidR="00E30B72" w:rsidRDefault="00E30B72" w:rsidP="008477F9">
            <w:pPr>
              <w:spacing w:after="0"/>
              <w:jc w:val="center"/>
            </w:pPr>
            <w:r>
              <w:rPr>
                <w:b/>
                <w:bCs/>
              </w:rPr>
              <w:t>Valore</w:t>
            </w:r>
          </w:p>
        </w:tc>
      </w:tr>
      <w:tr w:rsidR="00E30B72" w14:paraId="485DB9AF" w14:textId="77777777" w:rsidTr="008477F9">
        <w:tc>
          <w:tcPr>
            <w:tcW w:w="2000" w:type="dxa"/>
          </w:tcPr>
          <w:p w14:paraId="0438638D" w14:textId="77777777" w:rsidR="00E30B72" w:rsidRDefault="00E30B72" w:rsidP="008477F9">
            <w:pPr>
              <w:spacing w:after="0"/>
            </w:pPr>
            <w:r>
              <w:t xml:space="preserve"> Numero consigli ricevuti dai collaboratori nell'ultimo mese</w:t>
            </w:r>
          </w:p>
        </w:tc>
        <w:tc>
          <w:tcPr>
            <w:tcW w:w="2000" w:type="dxa"/>
          </w:tcPr>
          <w:p w14:paraId="024FBEF7" w14:textId="77777777" w:rsidR="00E30B72" w:rsidRDefault="00E30B72" w:rsidP="008477F9">
            <w:pPr>
              <w:spacing w:after="0"/>
              <w:jc w:val="center"/>
            </w:pPr>
            <w:r>
              <w:t>10,00</w:t>
            </w:r>
          </w:p>
        </w:tc>
      </w:tr>
      <w:tr w:rsidR="00E30B72" w14:paraId="52F21467" w14:textId="77777777" w:rsidTr="008477F9">
        <w:tc>
          <w:tcPr>
            <w:tcW w:w="2000" w:type="dxa"/>
          </w:tcPr>
          <w:p w14:paraId="4EA95201" w14:textId="77777777" w:rsidR="00E30B72" w:rsidRDefault="00E30B72" w:rsidP="008477F9">
            <w:pPr>
              <w:spacing w:after="0"/>
            </w:pPr>
            <w:r>
              <w:rPr>
                <w:b/>
                <w:bCs/>
              </w:rPr>
              <w:t xml:space="preserve"> CLIMA AZIENDALE - IL CUORE IN AZIENDA</w:t>
            </w:r>
          </w:p>
        </w:tc>
        <w:tc>
          <w:tcPr>
            <w:tcW w:w="2000" w:type="dxa"/>
          </w:tcPr>
          <w:p w14:paraId="50BBE2A1" w14:textId="77777777" w:rsidR="00E30B72" w:rsidRDefault="00E30B72" w:rsidP="008477F9">
            <w:pPr>
              <w:spacing w:after="0"/>
              <w:jc w:val="center"/>
            </w:pPr>
            <w:r>
              <w:rPr>
                <w:b/>
                <w:bCs/>
              </w:rPr>
              <w:t>43%</w:t>
            </w:r>
          </w:p>
        </w:tc>
      </w:tr>
    </w:tbl>
    <w:p w14:paraId="2C058C0F" w14:textId="758C67BC" w:rsidR="00E30B72" w:rsidRPr="00236F70" w:rsidRDefault="00E30B72" w:rsidP="00E30B72">
      <w:pPr>
        <w:rPr>
          <w:color w:val="C45911" w:themeColor="accent2" w:themeShade="BF"/>
        </w:rPr>
      </w:pPr>
      <w:r w:rsidRPr="00236F70">
        <w:rPr>
          <w:color w:val="C45911" w:themeColor="accent2" w:themeShade="BF"/>
        </w:rPr>
        <w:t>I tuoi collaboratori sono poco interessati alle vicende aziendali. La cosa potrebbe essere grave perché indica un clima aziendale non positivo. Si ricorda che senza clima aziendale l'azienda è a rischio chiusura. Occorre intervenire subito per creare maggiore coinvolgimento.</w:t>
      </w:r>
    </w:p>
    <w:tbl>
      <w:tblPr>
        <w:tblStyle w:val="Tabelle"/>
        <w:tblW w:w="0" w:type="auto"/>
        <w:tblInd w:w="0" w:type="dxa"/>
        <w:tblLook w:val="04A0" w:firstRow="1" w:lastRow="0" w:firstColumn="1" w:lastColumn="0" w:noHBand="0" w:noVBand="1"/>
      </w:tblPr>
      <w:tblGrid>
        <w:gridCol w:w="7890"/>
        <w:gridCol w:w="1746"/>
      </w:tblGrid>
      <w:tr w:rsidR="00E30B72" w14:paraId="59458AB8" w14:textId="77777777" w:rsidTr="008477F9">
        <w:trPr>
          <w:cnfStyle w:val="100000000000" w:firstRow="1" w:lastRow="0" w:firstColumn="0" w:lastColumn="0" w:oddVBand="0" w:evenVBand="0" w:oddHBand="0" w:evenHBand="0" w:firstRowFirstColumn="0" w:firstRowLastColumn="0" w:lastRowFirstColumn="0" w:lastRowLastColumn="0"/>
        </w:trPr>
        <w:tc>
          <w:tcPr>
            <w:tcW w:w="9900" w:type="dxa"/>
          </w:tcPr>
          <w:p w14:paraId="6BDAF0B7" w14:textId="77777777" w:rsidR="00E30B72" w:rsidRDefault="00E30B72" w:rsidP="008477F9">
            <w:pPr>
              <w:spacing w:after="0"/>
              <w:jc w:val="center"/>
            </w:pPr>
            <w:r>
              <w:rPr>
                <w:b/>
                <w:bCs/>
              </w:rPr>
              <w:t>Campo</w:t>
            </w:r>
          </w:p>
        </w:tc>
        <w:tc>
          <w:tcPr>
            <w:tcW w:w="900" w:type="dxa"/>
          </w:tcPr>
          <w:p w14:paraId="49519171" w14:textId="77777777" w:rsidR="00E30B72" w:rsidRDefault="00E30B72" w:rsidP="008477F9">
            <w:pPr>
              <w:spacing w:after="0"/>
              <w:jc w:val="center"/>
            </w:pPr>
            <w:r>
              <w:rPr>
                <w:b/>
                <w:bCs/>
              </w:rPr>
              <w:t>Valore</w:t>
            </w:r>
          </w:p>
        </w:tc>
      </w:tr>
      <w:tr w:rsidR="00E30B72" w14:paraId="486DC16C" w14:textId="77777777" w:rsidTr="008477F9">
        <w:tc>
          <w:tcPr>
            <w:tcW w:w="2000" w:type="dxa"/>
          </w:tcPr>
          <w:p w14:paraId="5BE7998C" w14:textId="77777777" w:rsidR="00E30B72" w:rsidRDefault="00E30B72" w:rsidP="008477F9">
            <w:pPr>
              <w:spacing w:after="0"/>
            </w:pPr>
            <w:r>
              <w:t xml:space="preserve"> Ricavi derivanti da vendite nuovi prodotti </w:t>
            </w:r>
            <w:proofErr w:type="gramStart"/>
            <w:r>
              <w:t>nell`ultimo</w:t>
            </w:r>
            <w:proofErr w:type="gramEnd"/>
            <w:r>
              <w:t xml:space="preserve"> mese</w:t>
            </w:r>
          </w:p>
        </w:tc>
        <w:tc>
          <w:tcPr>
            <w:tcW w:w="2000" w:type="dxa"/>
          </w:tcPr>
          <w:p w14:paraId="5EFA6E7E" w14:textId="77777777" w:rsidR="00E30B72" w:rsidRDefault="00E30B72" w:rsidP="008477F9">
            <w:pPr>
              <w:spacing w:after="0"/>
              <w:jc w:val="center"/>
            </w:pPr>
            <w:r>
              <w:t>30.000,00</w:t>
            </w:r>
          </w:p>
        </w:tc>
      </w:tr>
      <w:tr w:rsidR="00E30B72" w14:paraId="6B617673" w14:textId="77777777" w:rsidTr="008477F9">
        <w:tc>
          <w:tcPr>
            <w:tcW w:w="2000" w:type="dxa"/>
          </w:tcPr>
          <w:p w14:paraId="35A22A6C" w14:textId="77777777" w:rsidR="00E30B72" w:rsidRDefault="00E30B72" w:rsidP="008477F9">
            <w:pPr>
              <w:spacing w:after="0"/>
            </w:pPr>
            <w:r>
              <w:rPr>
                <w:b/>
                <w:bCs/>
              </w:rPr>
              <w:t xml:space="preserve"> INNOVAZIONE STRATEGICA</w:t>
            </w:r>
          </w:p>
        </w:tc>
        <w:tc>
          <w:tcPr>
            <w:tcW w:w="2000" w:type="dxa"/>
          </w:tcPr>
          <w:p w14:paraId="29423113" w14:textId="77777777" w:rsidR="00E30B72" w:rsidRDefault="00E30B72" w:rsidP="008477F9">
            <w:pPr>
              <w:spacing w:after="0"/>
              <w:jc w:val="center"/>
            </w:pPr>
            <w:r>
              <w:rPr>
                <w:b/>
                <w:bCs/>
              </w:rPr>
              <w:t>50%</w:t>
            </w:r>
          </w:p>
        </w:tc>
      </w:tr>
    </w:tbl>
    <w:p w14:paraId="1509FDBC" w14:textId="77777777" w:rsidR="00E30B72" w:rsidRPr="00236F70" w:rsidRDefault="00E30B72" w:rsidP="00E30B72">
      <w:pPr>
        <w:rPr>
          <w:color w:val="C45911" w:themeColor="accent2" w:themeShade="BF"/>
        </w:rPr>
      </w:pPr>
      <w:r w:rsidRPr="00236F70">
        <w:rPr>
          <w:color w:val="C45911" w:themeColor="accent2" w:themeShade="BF"/>
        </w:rPr>
        <w:t>I ricavi provenienti da innovazioni introdotte recentemente in azienda o da nuovi prodotti sono insufficienti. Devi dedicare più tempo e più risorse per innovare servizi, prodotti, processi e strategie di marketing.'</w:t>
      </w:r>
    </w:p>
    <w:tbl>
      <w:tblPr>
        <w:tblStyle w:val="Tabelle"/>
        <w:tblW w:w="0" w:type="auto"/>
        <w:tblInd w:w="0" w:type="dxa"/>
        <w:tblLook w:val="04A0" w:firstRow="1" w:lastRow="0" w:firstColumn="1" w:lastColumn="0" w:noHBand="0" w:noVBand="1"/>
      </w:tblPr>
      <w:tblGrid>
        <w:gridCol w:w="7946"/>
        <w:gridCol w:w="1690"/>
      </w:tblGrid>
      <w:tr w:rsidR="00E30B72" w14:paraId="52B78CD7" w14:textId="77777777" w:rsidTr="008477F9">
        <w:trPr>
          <w:cnfStyle w:val="100000000000" w:firstRow="1" w:lastRow="0" w:firstColumn="0" w:lastColumn="0" w:oddVBand="0" w:evenVBand="0" w:oddHBand="0" w:evenHBand="0" w:firstRowFirstColumn="0" w:firstRowLastColumn="0" w:lastRowFirstColumn="0" w:lastRowLastColumn="0"/>
        </w:trPr>
        <w:tc>
          <w:tcPr>
            <w:tcW w:w="9900" w:type="dxa"/>
          </w:tcPr>
          <w:p w14:paraId="3B57D4C3" w14:textId="77777777" w:rsidR="00E30B72" w:rsidRDefault="00E30B72" w:rsidP="008477F9">
            <w:pPr>
              <w:spacing w:after="0"/>
              <w:jc w:val="center"/>
            </w:pPr>
            <w:r>
              <w:rPr>
                <w:b/>
                <w:bCs/>
              </w:rPr>
              <w:t>Campo</w:t>
            </w:r>
          </w:p>
        </w:tc>
        <w:tc>
          <w:tcPr>
            <w:tcW w:w="900" w:type="dxa"/>
          </w:tcPr>
          <w:p w14:paraId="338A10E9" w14:textId="77777777" w:rsidR="00E30B72" w:rsidRDefault="00E30B72" w:rsidP="008477F9">
            <w:pPr>
              <w:spacing w:after="0"/>
              <w:jc w:val="center"/>
            </w:pPr>
            <w:r>
              <w:rPr>
                <w:b/>
                <w:bCs/>
              </w:rPr>
              <w:t>Valore</w:t>
            </w:r>
          </w:p>
        </w:tc>
      </w:tr>
      <w:tr w:rsidR="00E30B72" w14:paraId="41900D57" w14:textId="77777777" w:rsidTr="008477F9">
        <w:tc>
          <w:tcPr>
            <w:tcW w:w="2000" w:type="dxa"/>
          </w:tcPr>
          <w:p w14:paraId="66A2F7E8" w14:textId="77777777" w:rsidR="00E30B72" w:rsidRDefault="00E30B72" w:rsidP="008477F9">
            <w:pPr>
              <w:spacing w:after="0"/>
            </w:pPr>
            <w:r>
              <w:t xml:space="preserve"> Ore di formazione del titolare </w:t>
            </w:r>
            <w:proofErr w:type="gramStart"/>
            <w:r>
              <w:t>nell`ultimo</w:t>
            </w:r>
            <w:proofErr w:type="gramEnd"/>
            <w:r>
              <w:t xml:space="preserve"> mese</w:t>
            </w:r>
          </w:p>
        </w:tc>
        <w:tc>
          <w:tcPr>
            <w:tcW w:w="2000" w:type="dxa"/>
          </w:tcPr>
          <w:p w14:paraId="150D7D63" w14:textId="77777777" w:rsidR="00E30B72" w:rsidRDefault="00E30B72" w:rsidP="008477F9">
            <w:pPr>
              <w:spacing w:after="0"/>
              <w:jc w:val="center"/>
            </w:pPr>
            <w:r>
              <w:t>10,00</w:t>
            </w:r>
          </w:p>
        </w:tc>
      </w:tr>
      <w:tr w:rsidR="00E30B72" w14:paraId="528CB899" w14:textId="77777777" w:rsidTr="008477F9">
        <w:tc>
          <w:tcPr>
            <w:tcW w:w="2000" w:type="dxa"/>
          </w:tcPr>
          <w:p w14:paraId="4E5C9C4B" w14:textId="77777777" w:rsidR="00E30B72" w:rsidRDefault="00E30B72" w:rsidP="008477F9">
            <w:pPr>
              <w:spacing w:after="0"/>
            </w:pPr>
            <w:r>
              <w:t xml:space="preserve"> Ore di formazione dei collaboratori </w:t>
            </w:r>
            <w:proofErr w:type="gramStart"/>
            <w:r>
              <w:t>nell`ultimo</w:t>
            </w:r>
            <w:proofErr w:type="gramEnd"/>
            <w:r>
              <w:t xml:space="preserve"> mese</w:t>
            </w:r>
          </w:p>
        </w:tc>
        <w:tc>
          <w:tcPr>
            <w:tcW w:w="2000" w:type="dxa"/>
          </w:tcPr>
          <w:p w14:paraId="51E4D358" w14:textId="77777777" w:rsidR="00E30B72" w:rsidRDefault="00E30B72" w:rsidP="008477F9">
            <w:pPr>
              <w:spacing w:after="0"/>
              <w:jc w:val="center"/>
            </w:pPr>
            <w:r>
              <w:t>100,00</w:t>
            </w:r>
          </w:p>
        </w:tc>
      </w:tr>
      <w:tr w:rsidR="00E30B72" w14:paraId="22ABFCCF" w14:textId="77777777" w:rsidTr="008477F9">
        <w:tc>
          <w:tcPr>
            <w:tcW w:w="2000" w:type="dxa"/>
          </w:tcPr>
          <w:p w14:paraId="7B92B96B" w14:textId="77777777" w:rsidR="00E30B72" w:rsidRDefault="00E30B72" w:rsidP="008477F9">
            <w:pPr>
              <w:spacing w:after="0"/>
            </w:pPr>
            <w:r>
              <w:rPr>
                <w:b/>
                <w:bCs/>
              </w:rPr>
              <w:t xml:space="preserve"> FORMAZIONE</w:t>
            </w:r>
          </w:p>
        </w:tc>
        <w:tc>
          <w:tcPr>
            <w:tcW w:w="2000" w:type="dxa"/>
          </w:tcPr>
          <w:p w14:paraId="46E03708" w14:textId="77777777" w:rsidR="00E30B72" w:rsidRDefault="00E30B72" w:rsidP="008477F9">
            <w:pPr>
              <w:spacing w:after="0"/>
              <w:jc w:val="center"/>
            </w:pPr>
            <w:r>
              <w:rPr>
                <w:b/>
                <w:bCs/>
              </w:rPr>
              <w:t>93%</w:t>
            </w:r>
          </w:p>
        </w:tc>
      </w:tr>
    </w:tbl>
    <w:p w14:paraId="3B0E4EF1" w14:textId="77777777" w:rsidR="00E30B72" w:rsidRDefault="00E30B72" w:rsidP="00E30B72">
      <w:r>
        <w:rPr>
          <w:color w:val="008000"/>
        </w:rPr>
        <w:t>Il numero di ore dedicate alla formazione è soddisfacente. Continua così!</w:t>
      </w:r>
    </w:p>
    <w:p w14:paraId="47CFB56C" w14:textId="77777777" w:rsidR="00E30B72" w:rsidRPr="00A8263D" w:rsidRDefault="00E30B72" w:rsidP="00A250B3">
      <w:pPr>
        <w:ind w:right="-1"/>
        <w:rPr>
          <w:rFonts w:ascii="Arial Nova Light" w:hAnsi="Arial Nova Light"/>
        </w:rPr>
      </w:pPr>
    </w:p>
    <w:sectPr w:rsidR="00E30B72" w:rsidRPr="00A8263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4F81" w14:textId="77777777" w:rsidR="00EA0DB6" w:rsidRDefault="00EA0DB6" w:rsidP="00E30B72">
      <w:pPr>
        <w:spacing w:after="0" w:line="240" w:lineRule="auto"/>
      </w:pPr>
      <w:r>
        <w:separator/>
      </w:r>
    </w:p>
  </w:endnote>
  <w:endnote w:type="continuationSeparator" w:id="0">
    <w:p w14:paraId="099E7360" w14:textId="77777777" w:rsidR="00EA0DB6" w:rsidRDefault="00EA0DB6" w:rsidP="00E3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B0C0" w14:textId="168802FD" w:rsidR="00000000" w:rsidRDefault="00000000" w:rsidP="007957C6">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842D" w14:textId="77777777" w:rsidR="00EA0DB6" w:rsidRDefault="00EA0DB6" w:rsidP="00E30B72">
      <w:pPr>
        <w:spacing w:after="0" w:line="240" w:lineRule="auto"/>
      </w:pPr>
      <w:r>
        <w:separator/>
      </w:r>
    </w:p>
  </w:footnote>
  <w:footnote w:type="continuationSeparator" w:id="0">
    <w:p w14:paraId="64797A95" w14:textId="77777777" w:rsidR="00EA0DB6" w:rsidRDefault="00EA0DB6" w:rsidP="00E30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8B2"/>
    <w:multiLevelType w:val="hybridMultilevel"/>
    <w:tmpl w:val="817CD6CC"/>
    <w:lvl w:ilvl="0" w:tplc="F0EAED96">
      <w:start w:val="1"/>
      <w:numFmt w:val="decimal"/>
      <w:lvlText w:val="%1)"/>
      <w:lvlJc w:val="left"/>
      <w:pPr>
        <w:ind w:left="1973" w:hanging="360"/>
        <w:jc w:val="right"/>
      </w:pPr>
      <w:rPr>
        <w:rFonts w:ascii="Times New Roman" w:eastAsia="Times New Roman" w:hAnsi="Times New Roman" w:cs="Times New Roman" w:hint="default"/>
        <w:b w:val="0"/>
        <w:bCs w:val="0"/>
        <w:i w:val="0"/>
        <w:iCs w:val="0"/>
        <w:spacing w:val="0"/>
        <w:w w:val="100"/>
        <w:sz w:val="24"/>
        <w:szCs w:val="24"/>
        <w:lang w:val="it-IT" w:eastAsia="en-US" w:bidi="ar-SA"/>
      </w:rPr>
    </w:lvl>
    <w:lvl w:ilvl="1" w:tplc="2402D8D0">
      <w:start w:val="1"/>
      <w:numFmt w:val="lowerLetter"/>
      <w:lvlText w:val="%2)"/>
      <w:lvlJc w:val="left"/>
      <w:pPr>
        <w:ind w:left="3311"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2" w:tplc="5AEC8E9C">
      <w:numFmt w:val="bullet"/>
      <w:lvlText w:val="•"/>
      <w:lvlJc w:val="left"/>
      <w:pPr>
        <w:ind w:left="3773" w:hanging="360"/>
      </w:pPr>
      <w:rPr>
        <w:rFonts w:hint="default"/>
        <w:lang w:val="it-IT" w:eastAsia="en-US" w:bidi="ar-SA"/>
      </w:rPr>
    </w:lvl>
    <w:lvl w:ilvl="3" w:tplc="7A2A0B04">
      <w:numFmt w:val="bullet"/>
      <w:lvlText w:val="•"/>
      <w:lvlJc w:val="left"/>
      <w:pPr>
        <w:ind w:left="4226" w:hanging="360"/>
      </w:pPr>
      <w:rPr>
        <w:rFonts w:hint="default"/>
        <w:lang w:val="it-IT" w:eastAsia="en-US" w:bidi="ar-SA"/>
      </w:rPr>
    </w:lvl>
    <w:lvl w:ilvl="4" w:tplc="0A1AE668">
      <w:numFmt w:val="bullet"/>
      <w:lvlText w:val="•"/>
      <w:lvlJc w:val="left"/>
      <w:pPr>
        <w:ind w:left="4679" w:hanging="360"/>
      </w:pPr>
      <w:rPr>
        <w:rFonts w:hint="default"/>
        <w:lang w:val="it-IT" w:eastAsia="en-US" w:bidi="ar-SA"/>
      </w:rPr>
    </w:lvl>
    <w:lvl w:ilvl="5" w:tplc="A914DD8C">
      <w:numFmt w:val="bullet"/>
      <w:lvlText w:val="•"/>
      <w:lvlJc w:val="left"/>
      <w:pPr>
        <w:ind w:left="5132" w:hanging="360"/>
      </w:pPr>
      <w:rPr>
        <w:rFonts w:hint="default"/>
        <w:lang w:val="it-IT" w:eastAsia="en-US" w:bidi="ar-SA"/>
      </w:rPr>
    </w:lvl>
    <w:lvl w:ilvl="6" w:tplc="DEA856EA">
      <w:numFmt w:val="bullet"/>
      <w:lvlText w:val="•"/>
      <w:lvlJc w:val="left"/>
      <w:pPr>
        <w:ind w:left="5586" w:hanging="360"/>
      </w:pPr>
      <w:rPr>
        <w:rFonts w:hint="default"/>
        <w:lang w:val="it-IT" w:eastAsia="en-US" w:bidi="ar-SA"/>
      </w:rPr>
    </w:lvl>
    <w:lvl w:ilvl="7" w:tplc="B5D2E312">
      <w:numFmt w:val="bullet"/>
      <w:lvlText w:val="•"/>
      <w:lvlJc w:val="left"/>
      <w:pPr>
        <w:ind w:left="6039" w:hanging="360"/>
      </w:pPr>
      <w:rPr>
        <w:rFonts w:hint="default"/>
        <w:lang w:val="it-IT" w:eastAsia="en-US" w:bidi="ar-SA"/>
      </w:rPr>
    </w:lvl>
    <w:lvl w:ilvl="8" w:tplc="A6F6C6CA">
      <w:numFmt w:val="bullet"/>
      <w:lvlText w:val="•"/>
      <w:lvlJc w:val="left"/>
      <w:pPr>
        <w:ind w:left="6492" w:hanging="360"/>
      </w:pPr>
      <w:rPr>
        <w:rFonts w:hint="default"/>
        <w:lang w:val="it-IT" w:eastAsia="en-US" w:bidi="ar-SA"/>
      </w:rPr>
    </w:lvl>
  </w:abstractNum>
  <w:abstractNum w:abstractNumId="1" w15:restartNumberingAfterBreak="0">
    <w:nsid w:val="062C00FB"/>
    <w:multiLevelType w:val="hybridMultilevel"/>
    <w:tmpl w:val="78A85A2C"/>
    <w:lvl w:ilvl="0" w:tplc="E07EEB64">
      <w:numFmt w:val="bullet"/>
      <w:lvlText w:val="-"/>
      <w:lvlJc w:val="left"/>
      <w:pPr>
        <w:ind w:left="1529"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1" w:tplc="0320349C">
      <w:numFmt w:val="bullet"/>
      <w:lvlText w:val="-"/>
      <w:lvlJc w:val="left"/>
      <w:pPr>
        <w:ind w:left="1815"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A6F6B15E">
      <w:numFmt w:val="bullet"/>
      <w:lvlText w:val="•"/>
      <w:lvlJc w:val="left"/>
      <w:pPr>
        <w:ind w:left="2439" w:hanging="360"/>
      </w:pPr>
      <w:rPr>
        <w:rFonts w:hint="default"/>
        <w:lang w:val="it-IT" w:eastAsia="en-US" w:bidi="ar-SA"/>
      </w:rPr>
    </w:lvl>
    <w:lvl w:ilvl="3" w:tplc="D33C3096">
      <w:numFmt w:val="bullet"/>
      <w:lvlText w:val="•"/>
      <w:lvlJc w:val="left"/>
      <w:pPr>
        <w:ind w:left="3059" w:hanging="360"/>
      </w:pPr>
      <w:rPr>
        <w:rFonts w:hint="default"/>
        <w:lang w:val="it-IT" w:eastAsia="en-US" w:bidi="ar-SA"/>
      </w:rPr>
    </w:lvl>
    <w:lvl w:ilvl="4" w:tplc="580E9F4C">
      <w:numFmt w:val="bullet"/>
      <w:lvlText w:val="•"/>
      <w:lvlJc w:val="left"/>
      <w:pPr>
        <w:ind w:left="3679" w:hanging="360"/>
      </w:pPr>
      <w:rPr>
        <w:rFonts w:hint="default"/>
        <w:lang w:val="it-IT" w:eastAsia="en-US" w:bidi="ar-SA"/>
      </w:rPr>
    </w:lvl>
    <w:lvl w:ilvl="5" w:tplc="A2E6FB64">
      <w:numFmt w:val="bullet"/>
      <w:lvlText w:val="•"/>
      <w:lvlJc w:val="left"/>
      <w:pPr>
        <w:ind w:left="4299" w:hanging="360"/>
      </w:pPr>
      <w:rPr>
        <w:rFonts w:hint="default"/>
        <w:lang w:val="it-IT" w:eastAsia="en-US" w:bidi="ar-SA"/>
      </w:rPr>
    </w:lvl>
    <w:lvl w:ilvl="6" w:tplc="D7C067E6">
      <w:numFmt w:val="bullet"/>
      <w:lvlText w:val="•"/>
      <w:lvlJc w:val="left"/>
      <w:pPr>
        <w:ind w:left="4919" w:hanging="360"/>
      </w:pPr>
      <w:rPr>
        <w:rFonts w:hint="default"/>
        <w:lang w:val="it-IT" w:eastAsia="en-US" w:bidi="ar-SA"/>
      </w:rPr>
    </w:lvl>
    <w:lvl w:ilvl="7" w:tplc="75F47116">
      <w:numFmt w:val="bullet"/>
      <w:lvlText w:val="•"/>
      <w:lvlJc w:val="left"/>
      <w:pPr>
        <w:ind w:left="5539" w:hanging="360"/>
      </w:pPr>
      <w:rPr>
        <w:rFonts w:hint="default"/>
        <w:lang w:val="it-IT" w:eastAsia="en-US" w:bidi="ar-SA"/>
      </w:rPr>
    </w:lvl>
    <w:lvl w:ilvl="8" w:tplc="D00AD08E">
      <w:numFmt w:val="bullet"/>
      <w:lvlText w:val="•"/>
      <w:lvlJc w:val="left"/>
      <w:pPr>
        <w:ind w:left="6159" w:hanging="360"/>
      </w:pPr>
      <w:rPr>
        <w:rFonts w:hint="default"/>
        <w:lang w:val="it-IT" w:eastAsia="en-US" w:bidi="ar-SA"/>
      </w:rPr>
    </w:lvl>
  </w:abstractNum>
  <w:abstractNum w:abstractNumId="2" w15:restartNumberingAfterBreak="0">
    <w:nsid w:val="0BAC08B3"/>
    <w:multiLevelType w:val="hybridMultilevel"/>
    <w:tmpl w:val="F44CAB7E"/>
    <w:lvl w:ilvl="0" w:tplc="0410000D">
      <w:start w:val="1"/>
      <w:numFmt w:val="bullet"/>
      <w:lvlText w:val=""/>
      <w:lvlJc w:val="left"/>
      <w:pPr>
        <w:ind w:left="1192" w:hanging="360"/>
      </w:pPr>
      <w:rPr>
        <w:rFonts w:ascii="Wingdings" w:hAnsi="Wingdings" w:hint="default"/>
      </w:rPr>
    </w:lvl>
    <w:lvl w:ilvl="1" w:tplc="04100003">
      <w:start w:val="1"/>
      <w:numFmt w:val="bullet"/>
      <w:lvlText w:val="o"/>
      <w:lvlJc w:val="left"/>
      <w:pPr>
        <w:ind w:left="1912" w:hanging="360"/>
      </w:pPr>
      <w:rPr>
        <w:rFonts w:ascii="Courier New" w:hAnsi="Courier New" w:cs="Courier New" w:hint="default"/>
      </w:rPr>
    </w:lvl>
    <w:lvl w:ilvl="2" w:tplc="04100005">
      <w:start w:val="1"/>
      <w:numFmt w:val="bullet"/>
      <w:lvlText w:val=""/>
      <w:lvlJc w:val="left"/>
      <w:pPr>
        <w:ind w:left="2632" w:hanging="360"/>
      </w:pPr>
      <w:rPr>
        <w:rFonts w:ascii="Wingdings" w:hAnsi="Wingdings" w:hint="default"/>
      </w:rPr>
    </w:lvl>
    <w:lvl w:ilvl="3" w:tplc="04100001">
      <w:start w:val="1"/>
      <w:numFmt w:val="bullet"/>
      <w:lvlText w:val=""/>
      <w:lvlJc w:val="left"/>
      <w:pPr>
        <w:ind w:left="3352" w:hanging="360"/>
      </w:pPr>
      <w:rPr>
        <w:rFonts w:ascii="Symbol" w:hAnsi="Symbol" w:hint="default"/>
      </w:rPr>
    </w:lvl>
    <w:lvl w:ilvl="4" w:tplc="04100003">
      <w:start w:val="1"/>
      <w:numFmt w:val="bullet"/>
      <w:lvlText w:val="o"/>
      <w:lvlJc w:val="left"/>
      <w:pPr>
        <w:ind w:left="4072" w:hanging="360"/>
      </w:pPr>
      <w:rPr>
        <w:rFonts w:ascii="Courier New" w:hAnsi="Courier New" w:cs="Courier New" w:hint="default"/>
      </w:rPr>
    </w:lvl>
    <w:lvl w:ilvl="5" w:tplc="04100005">
      <w:start w:val="1"/>
      <w:numFmt w:val="bullet"/>
      <w:lvlText w:val=""/>
      <w:lvlJc w:val="left"/>
      <w:pPr>
        <w:ind w:left="4792" w:hanging="360"/>
      </w:pPr>
      <w:rPr>
        <w:rFonts w:ascii="Wingdings" w:hAnsi="Wingdings" w:hint="default"/>
      </w:rPr>
    </w:lvl>
    <w:lvl w:ilvl="6" w:tplc="04100001">
      <w:start w:val="1"/>
      <w:numFmt w:val="bullet"/>
      <w:lvlText w:val=""/>
      <w:lvlJc w:val="left"/>
      <w:pPr>
        <w:ind w:left="5512" w:hanging="360"/>
      </w:pPr>
      <w:rPr>
        <w:rFonts w:ascii="Symbol" w:hAnsi="Symbol" w:hint="default"/>
      </w:rPr>
    </w:lvl>
    <w:lvl w:ilvl="7" w:tplc="04100003">
      <w:start w:val="1"/>
      <w:numFmt w:val="bullet"/>
      <w:lvlText w:val="o"/>
      <w:lvlJc w:val="left"/>
      <w:pPr>
        <w:ind w:left="6232" w:hanging="360"/>
      </w:pPr>
      <w:rPr>
        <w:rFonts w:ascii="Courier New" w:hAnsi="Courier New" w:cs="Courier New" w:hint="default"/>
      </w:rPr>
    </w:lvl>
    <w:lvl w:ilvl="8" w:tplc="04100005">
      <w:start w:val="1"/>
      <w:numFmt w:val="bullet"/>
      <w:lvlText w:val=""/>
      <w:lvlJc w:val="left"/>
      <w:pPr>
        <w:ind w:left="6952" w:hanging="360"/>
      </w:pPr>
      <w:rPr>
        <w:rFonts w:ascii="Wingdings" w:hAnsi="Wingdings" w:hint="default"/>
      </w:rPr>
    </w:lvl>
  </w:abstractNum>
  <w:abstractNum w:abstractNumId="3" w15:restartNumberingAfterBreak="0">
    <w:nsid w:val="10DF67BB"/>
    <w:multiLevelType w:val="hybridMultilevel"/>
    <w:tmpl w:val="91E80C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10435A"/>
    <w:multiLevelType w:val="hybridMultilevel"/>
    <w:tmpl w:val="FEFCC192"/>
    <w:lvl w:ilvl="0" w:tplc="1C2AF6FE">
      <w:start w:val="4"/>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52556CD"/>
    <w:multiLevelType w:val="hybridMultilevel"/>
    <w:tmpl w:val="63C29472"/>
    <w:lvl w:ilvl="0" w:tplc="0410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3B3B84"/>
    <w:multiLevelType w:val="multilevel"/>
    <w:tmpl w:val="F3A80C0E"/>
    <w:lvl w:ilvl="0">
      <w:start w:val="6"/>
      <w:numFmt w:val="decimal"/>
      <w:lvlText w:val="%1."/>
      <w:lvlJc w:val="left"/>
      <w:pPr>
        <w:ind w:left="398" w:hanging="449"/>
      </w:pPr>
      <w:rPr>
        <w:rFonts w:ascii="Times New Roman" w:eastAsia="Times New Roman" w:hAnsi="Times New Roman" w:cs="Times New Roman" w:hint="default"/>
        <w:b/>
        <w:bCs/>
        <w:i/>
        <w:iCs/>
        <w:spacing w:val="0"/>
        <w:w w:val="100"/>
        <w:sz w:val="29"/>
        <w:szCs w:val="29"/>
        <w:lang w:val="it-IT" w:eastAsia="en-US" w:bidi="ar-SA"/>
      </w:rPr>
    </w:lvl>
    <w:lvl w:ilvl="1">
      <w:start w:val="1"/>
      <w:numFmt w:val="decimal"/>
      <w:lvlText w:val="%1.%2"/>
      <w:lvlJc w:val="left"/>
      <w:pPr>
        <w:ind w:left="758" w:hanging="420"/>
        <w:jc w:val="right"/>
      </w:pPr>
      <w:rPr>
        <w:rFonts w:ascii="Times New Roman" w:eastAsia="Times New Roman" w:hAnsi="Times New Roman" w:cs="Times New Roman" w:hint="default"/>
        <w:b/>
        <w:bCs/>
        <w:i/>
        <w:iCs/>
        <w:spacing w:val="0"/>
        <w:w w:val="100"/>
        <w:sz w:val="24"/>
        <w:szCs w:val="24"/>
        <w:lang w:val="it-IT" w:eastAsia="en-US" w:bidi="ar-SA"/>
      </w:rPr>
    </w:lvl>
    <w:lvl w:ilvl="2">
      <w:start w:val="1"/>
      <w:numFmt w:val="lowerLetter"/>
      <w:lvlText w:val="%3)"/>
      <w:lvlJc w:val="left"/>
      <w:pPr>
        <w:ind w:left="2170" w:hanging="360"/>
        <w:jc w:val="right"/>
      </w:pPr>
      <w:rPr>
        <w:rFonts w:ascii="Times New Roman" w:eastAsia="Times New Roman" w:hAnsi="Times New Roman" w:cs="Times New Roman" w:hint="default"/>
        <w:b w:val="0"/>
        <w:bCs w:val="0"/>
        <w:i w:val="0"/>
        <w:iCs w:val="0"/>
        <w:spacing w:val="-1"/>
        <w:w w:val="100"/>
        <w:sz w:val="24"/>
        <w:szCs w:val="24"/>
        <w:lang w:val="it-IT" w:eastAsia="en-US" w:bidi="ar-SA"/>
      </w:rPr>
    </w:lvl>
    <w:lvl w:ilvl="3">
      <w:numFmt w:val="bullet"/>
      <w:lvlText w:val="-"/>
      <w:lvlJc w:val="left"/>
      <w:pPr>
        <w:ind w:left="1815" w:hanging="420"/>
      </w:pPr>
      <w:rPr>
        <w:rFonts w:ascii="Times New Roman" w:eastAsia="Times New Roman" w:hAnsi="Times New Roman" w:cs="Times New Roman" w:hint="default"/>
        <w:b w:val="0"/>
        <w:bCs w:val="0"/>
        <w:i w:val="0"/>
        <w:iCs w:val="0"/>
        <w:spacing w:val="0"/>
        <w:w w:val="100"/>
        <w:sz w:val="24"/>
        <w:szCs w:val="24"/>
        <w:lang w:val="it-IT" w:eastAsia="en-US" w:bidi="ar-SA"/>
      </w:rPr>
    </w:lvl>
    <w:lvl w:ilvl="4">
      <w:numFmt w:val="bullet"/>
      <w:lvlText w:val="•"/>
      <w:lvlJc w:val="left"/>
      <w:pPr>
        <w:ind w:left="1820" w:hanging="420"/>
      </w:pPr>
      <w:rPr>
        <w:rFonts w:hint="default"/>
        <w:lang w:val="it-IT" w:eastAsia="en-US" w:bidi="ar-SA"/>
      </w:rPr>
    </w:lvl>
    <w:lvl w:ilvl="5">
      <w:numFmt w:val="bullet"/>
      <w:lvlText w:val="•"/>
      <w:lvlJc w:val="left"/>
      <w:pPr>
        <w:ind w:left="2180" w:hanging="420"/>
      </w:pPr>
      <w:rPr>
        <w:rFonts w:hint="default"/>
        <w:lang w:val="it-IT" w:eastAsia="en-US" w:bidi="ar-SA"/>
      </w:rPr>
    </w:lvl>
    <w:lvl w:ilvl="6">
      <w:numFmt w:val="bullet"/>
      <w:lvlText w:val="•"/>
      <w:lvlJc w:val="left"/>
      <w:pPr>
        <w:ind w:left="2240" w:hanging="420"/>
      </w:pPr>
      <w:rPr>
        <w:rFonts w:hint="default"/>
        <w:lang w:val="it-IT" w:eastAsia="en-US" w:bidi="ar-SA"/>
      </w:rPr>
    </w:lvl>
    <w:lvl w:ilvl="7">
      <w:numFmt w:val="bullet"/>
      <w:lvlText w:val="•"/>
      <w:lvlJc w:val="left"/>
      <w:pPr>
        <w:ind w:left="3529" w:hanging="420"/>
      </w:pPr>
      <w:rPr>
        <w:rFonts w:hint="default"/>
        <w:lang w:val="it-IT" w:eastAsia="en-US" w:bidi="ar-SA"/>
      </w:rPr>
    </w:lvl>
    <w:lvl w:ilvl="8">
      <w:numFmt w:val="bullet"/>
      <w:lvlText w:val="•"/>
      <w:lvlJc w:val="left"/>
      <w:pPr>
        <w:ind w:left="4819" w:hanging="420"/>
      </w:pPr>
      <w:rPr>
        <w:rFonts w:hint="default"/>
        <w:lang w:val="it-IT" w:eastAsia="en-US" w:bidi="ar-SA"/>
      </w:rPr>
    </w:lvl>
  </w:abstractNum>
  <w:abstractNum w:abstractNumId="7" w15:restartNumberingAfterBreak="0">
    <w:nsid w:val="1B717E53"/>
    <w:multiLevelType w:val="hybridMultilevel"/>
    <w:tmpl w:val="029682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7A7655"/>
    <w:multiLevelType w:val="hybridMultilevel"/>
    <w:tmpl w:val="F392CF9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764FD1"/>
    <w:multiLevelType w:val="hybridMultilevel"/>
    <w:tmpl w:val="AEB86260"/>
    <w:lvl w:ilvl="0" w:tplc="868E77A8">
      <w:start w:val="1"/>
      <w:numFmt w:val="decimal"/>
      <w:lvlText w:val="%1)"/>
      <w:lvlJc w:val="left"/>
      <w:pPr>
        <w:ind w:left="118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DDE07812">
      <w:numFmt w:val="bullet"/>
      <w:lvlText w:val=""/>
      <w:lvlJc w:val="left"/>
      <w:pPr>
        <w:ind w:left="1889" w:hanging="360"/>
      </w:pPr>
      <w:rPr>
        <w:rFonts w:ascii="Wingdings" w:eastAsia="Wingdings" w:hAnsi="Wingdings" w:cs="Wingdings" w:hint="default"/>
        <w:b w:val="0"/>
        <w:bCs w:val="0"/>
        <w:i w:val="0"/>
        <w:iCs w:val="0"/>
        <w:spacing w:val="0"/>
        <w:w w:val="100"/>
        <w:sz w:val="24"/>
        <w:szCs w:val="24"/>
        <w:lang w:val="it-IT" w:eastAsia="en-US" w:bidi="ar-SA"/>
      </w:rPr>
    </w:lvl>
    <w:lvl w:ilvl="2" w:tplc="E16C8150">
      <w:numFmt w:val="bullet"/>
      <w:lvlText w:val=""/>
      <w:lvlJc w:val="left"/>
      <w:pPr>
        <w:ind w:left="2175" w:hanging="420"/>
      </w:pPr>
      <w:rPr>
        <w:rFonts w:ascii="Wingdings" w:eastAsia="Wingdings" w:hAnsi="Wingdings" w:cs="Wingdings" w:hint="default"/>
        <w:b w:val="0"/>
        <w:bCs w:val="0"/>
        <w:i w:val="0"/>
        <w:iCs w:val="0"/>
        <w:spacing w:val="0"/>
        <w:w w:val="100"/>
        <w:sz w:val="24"/>
        <w:szCs w:val="24"/>
        <w:lang w:val="it-IT" w:eastAsia="en-US" w:bidi="ar-SA"/>
      </w:rPr>
    </w:lvl>
    <w:lvl w:ilvl="3" w:tplc="51163086">
      <w:numFmt w:val="bullet"/>
      <w:lvlText w:val="•"/>
      <w:lvlJc w:val="left"/>
      <w:pPr>
        <w:ind w:left="2832" w:hanging="420"/>
      </w:pPr>
      <w:rPr>
        <w:rFonts w:hint="default"/>
        <w:lang w:val="it-IT" w:eastAsia="en-US" w:bidi="ar-SA"/>
      </w:rPr>
    </w:lvl>
    <w:lvl w:ilvl="4" w:tplc="EA543E6C">
      <w:numFmt w:val="bullet"/>
      <w:lvlText w:val="•"/>
      <w:lvlJc w:val="left"/>
      <w:pPr>
        <w:ind w:left="3484" w:hanging="420"/>
      </w:pPr>
      <w:rPr>
        <w:rFonts w:hint="default"/>
        <w:lang w:val="it-IT" w:eastAsia="en-US" w:bidi="ar-SA"/>
      </w:rPr>
    </w:lvl>
    <w:lvl w:ilvl="5" w:tplc="3376C3E8">
      <w:numFmt w:val="bullet"/>
      <w:lvlText w:val="•"/>
      <w:lvlJc w:val="left"/>
      <w:pPr>
        <w:ind w:left="4137" w:hanging="420"/>
      </w:pPr>
      <w:rPr>
        <w:rFonts w:hint="default"/>
        <w:lang w:val="it-IT" w:eastAsia="en-US" w:bidi="ar-SA"/>
      </w:rPr>
    </w:lvl>
    <w:lvl w:ilvl="6" w:tplc="30F6994A">
      <w:numFmt w:val="bullet"/>
      <w:lvlText w:val="•"/>
      <w:lvlJc w:val="left"/>
      <w:pPr>
        <w:ind w:left="4789" w:hanging="420"/>
      </w:pPr>
      <w:rPr>
        <w:rFonts w:hint="default"/>
        <w:lang w:val="it-IT" w:eastAsia="en-US" w:bidi="ar-SA"/>
      </w:rPr>
    </w:lvl>
    <w:lvl w:ilvl="7" w:tplc="322C1CD6">
      <w:numFmt w:val="bullet"/>
      <w:lvlText w:val="•"/>
      <w:lvlJc w:val="left"/>
      <w:pPr>
        <w:ind w:left="5442" w:hanging="420"/>
      </w:pPr>
      <w:rPr>
        <w:rFonts w:hint="default"/>
        <w:lang w:val="it-IT" w:eastAsia="en-US" w:bidi="ar-SA"/>
      </w:rPr>
    </w:lvl>
    <w:lvl w:ilvl="8" w:tplc="A740EB60">
      <w:numFmt w:val="bullet"/>
      <w:lvlText w:val="•"/>
      <w:lvlJc w:val="left"/>
      <w:pPr>
        <w:ind w:left="6094" w:hanging="420"/>
      </w:pPr>
      <w:rPr>
        <w:rFonts w:hint="default"/>
        <w:lang w:val="it-IT" w:eastAsia="en-US" w:bidi="ar-SA"/>
      </w:rPr>
    </w:lvl>
  </w:abstractNum>
  <w:abstractNum w:abstractNumId="10" w15:restartNumberingAfterBreak="0">
    <w:nsid w:val="2C5E40DE"/>
    <w:multiLevelType w:val="hybridMultilevel"/>
    <w:tmpl w:val="B0CCFF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BE691F"/>
    <w:multiLevelType w:val="hybridMultilevel"/>
    <w:tmpl w:val="45BA87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F20734"/>
    <w:multiLevelType w:val="hybridMultilevel"/>
    <w:tmpl w:val="FADC51A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4C48FE"/>
    <w:multiLevelType w:val="hybridMultilevel"/>
    <w:tmpl w:val="DC3ED9B6"/>
    <w:lvl w:ilvl="0" w:tplc="5C78FCB2">
      <w:start w:val="1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CF01F6"/>
    <w:multiLevelType w:val="hybridMultilevel"/>
    <w:tmpl w:val="FADC51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9A43E5"/>
    <w:multiLevelType w:val="hybridMultilevel"/>
    <w:tmpl w:val="F2D692A8"/>
    <w:lvl w:ilvl="0" w:tplc="5C78FCB2">
      <w:start w:val="1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3D3EB2"/>
    <w:multiLevelType w:val="hybridMultilevel"/>
    <w:tmpl w:val="2490072E"/>
    <w:lvl w:ilvl="0" w:tplc="FFFFFFFF">
      <w:start w:val="1"/>
      <w:numFmt w:val="upperRoman"/>
      <w:lvlText w:val="%1."/>
      <w:lvlJc w:val="right"/>
      <w:pPr>
        <w:ind w:left="720" w:hanging="360"/>
      </w:pPr>
    </w:lvl>
    <w:lvl w:ilvl="1" w:tplc="0410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8F0A26"/>
    <w:multiLevelType w:val="hybridMultilevel"/>
    <w:tmpl w:val="F3500F0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355C8F"/>
    <w:multiLevelType w:val="hybridMultilevel"/>
    <w:tmpl w:val="6DD060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0C752B"/>
    <w:multiLevelType w:val="hybridMultilevel"/>
    <w:tmpl w:val="067658D0"/>
    <w:lvl w:ilvl="0" w:tplc="BFCA24EE">
      <w:start w:val="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2754586">
    <w:abstractNumId w:val="1"/>
  </w:num>
  <w:num w:numId="2" w16cid:durableId="1682511029">
    <w:abstractNumId w:val="3"/>
  </w:num>
  <w:num w:numId="3" w16cid:durableId="1833986851">
    <w:abstractNumId w:val="19"/>
  </w:num>
  <w:num w:numId="4" w16cid:durableId="1859735540">
    <w:abstractNumId w:val="4"/>
  </w:num>
  <w:num w:numId="5" w16cid:durableId="871841179">
    <w:abstractNumId w:val="13"/>
  </w:num>
  <w:num w:numId="6" w16cid:durableId="1466967124">
    <w:abstractNumId w:val="15"/>
  </w:num>
  <w:num w:numId="7" w16cid:durableId="1510557361">
    <w:abstractNumId w:val="6"/>
  </w:num>
  <w:num w:numId="8" w16cid:durableId="1620792964">
    <w:abstractNumId w:val="0"/>
  </w:num>
  <w:num w:numId="9" w16cid:durableId="407845243">
    <w:abstractNumId w:val="9"/>
  </w:num>
  <w:num w:numId="10" w16cid:durableId="1486239358">
    <w:abstractNumId w:val="12"/>
  </w:num>
  <w:num w:numId="11" w16cid:durableId="1343972044">
    <w:abstractNumId w:val="17"/>
  </w:num>
  <w:num w:numId="12" w16cid:durableId="1156336685">
    <w:abstractNumId w:val="11"/>
  </w:num>
  <w:num w:numId="13" w16cid:durableId="2120024180">
    <w:abstractNumId w:val="16"/>
  </w:num>
  <w:num w:numId="14" w16cid:durableId="1741751963">
    <w:abstractNumId w:val="14"/>
  </w:num>
  <w:num w:numId="15" w16cid:durableId="920455055">
    <w:abstractNumId w:val="5"/>
  </w:num>
  <w:num w:numId="16" w16cid:durableId="1822379782">
    <w:abstractNumId w:val="18"/>
  </w:num>
  <w:num w:numId="17" w16cid:durableId="2105949822">
    <w:abstractNumId w:val="8"/>
  </w:num>
  <w:num w:numId="18" w16cid:durableId="139539870">
    <w:abstractNumId w:val="7"/>
  </w:num>
  <w:num w:numId="19" w16cid:durableId="1378897715">
    <w:abstractNumId w:val="10"/>
  </w:num>
  <w:num w:numId="20" w16cid:durableId="48516978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25"/>
    <w:rsid w:val="001021CD"/>
    <w:rsid w:val="0010517C"/>
    <w:rsid w:val="001244FE"/>
    <w:rsid w:val="0013444B"/>
    <w:rsid w:val="001840CE"/>
    <w:rsid w:val="0018570F"/>
    <w:rsid w:val="001943E6"/>
    <w:rsid w:val="001B6827"/>
    <w:rsid w:val="00211739"/>
    <w:rsid w:val="00215EF3"/>
    <w:rsid w:val="00216EED"/>
    <w:rsid w:val="00236F70"/>
    <w:rsid w:val="002A70BD"/>
    <w:rsid w:val="002F1F82"/>
    <w:rsid w:val="002F40DB"/>
    <w:rsid w:val="00323BC5"/>
    <w:rsid w:val="00357AF0"/>
    <w:rsid w:val="003A67B8"/>
    <w:rsid w:val="003B0F17"/>
    <w:rsid w:val="003B6E59"/>
    <w:rsid w:val="003D4B26"/>
    <w:rsid w:val="003E428F"/>
    <w:rsid w:val="004D50CB"/>
    <w:rsid w:val="00511288"/>
    <w:rsid w:val="005321E8"/>
    <w:rsid w:val="005C0D10"/>
    <w:rsid w:val="005D7857"/>
    <w:rsid w:val="005E221F"/>
    <w:rsid w:val="005E2C51"/>
    <w:rsid w:val="0063593A"/>
    <w:rsid w:val="006507D4"/>
    <w:rsid w:val="00666D14"/>
    <w:rsid w:val="006961F0"/>
    <w:rsid w:val="006B568D"/>
    <w:rsid w:val="00716878"/>
    <w:rsid w:val="00757E6B"/>
    <w:rsid w:val="00793516"/>
    <w:rsid w:val="007A245A"/>
    <w:rsid w:val="007A7E43"/>
    <w:rsid w:val="00837F25"/>
    <w:rsid w:val="00852F17"/>
    <w:rsid w:val="0086402E"/>
    <w:rsid w:val="008828F0"/>
    <w:rsid w:val="008F4D09"/>
    <w:rsid w:val="00990067"/>
    <w:rsid w:val="00A250B3"/>
    <w:rsid w:val="00A33366"/>
    <w:rsid w:val="00A5354C"/>
    <w:rsid w:val="00A8263D"/>
    <w:rsid w:val="00BB2511"/>
    <w:rsid w:val="00BE2982"/>
    <w:rsid w:val="00C621A4"/>
    <w:rsid w:val="00C874F9"/>
    <w:rsid w:val="00CD0D25"/>
    <w:rsid w:val="00CE7508"/>
    <w:rsid w:val="00D7413F"/>
    <w:rsid w:val="00E30B72"/>
    <w:rsid w:val="00E84AA0"/>
    <w:rsid w:val="00E87867"/>
    <w:rsid w:val="00E92F92"/>
    <w:rsid w:val="00EA0DB6"/>
    <w:rsid w:val="00EC5174"/>
    <w:rsid w:val="00EF777F"/>
    <w:rsid w:val="00F2482A"/>
    <w:rsid w:val="00F90871"/>
    <w:rsid w:val="00FE06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0EA0"/>
  <w15:chartTrackingRefBased/>
  <w15:docId w15:val="{FA57D275-0A77-4104-90A7-BBC03B12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0D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pPr>
      <w:ind w:left="720"/>
      <w:contextualSpacing/>
    </w:pPr>
    <w:rPr>
      <w:rFonts w:eastAsia="Times New Roman" w:cs="Times New Roman"/>
    </w:rPr>
  </w:style>
  <w:style w:type="paragraph" w:styleId="Titolo">
    <w:name w:val="Title"/>
    <w:basedOn w:val="Normale"/>
    <w:link w:val="TitoloCarattere"/>
    <w:uiPriority w:val="10"/>
    <w:qFormat/>
    <w:rsid w:val="00CD0D25"/>
    <w:pPr>
      <w:widowControl w:val="0"/>
      <w:autoSpaceDE w:val="0"/>
      <w:autoSpaceDN w:val="0"/>
      <w:spacing w:before="78" w:after="0" w:line="240" w:lineRule="auto"/>
      <w:ind w:left="112"/>
      <w:jc w:val="both"/>
    </w:pPr>
    <w:rPr>
      <w:rFonts w:ascii="Arial Narrow" w:eastAsia="Arial Narrow" w:hAnsi="Arial Narrow" w:cs="Arial Narrow"/>
      <w:b/>
      <w:bCs/>
      <w:kern w:val="0"/>
      <w:sz w:val="32"/>
      <w:szCs w:val="32"/>
    </w:rPr>
  </w:style>
  <w:style w:type="character" w:customStyle="1" w:styleId="TitoloCarattere">
    <w:name w:val="Titolo Carattere"/>
    <w:basedOn w:val="Carpredefinitoparagrafo"/>
    <w:link w:val="Titolo"/>
    <w:uiPriority w:val="10"/>
    <w:rsid w:val="00CD0D25"/>
    <w:rPr>
      <w:rFonts w:ascii="Arial Narrow" w:eastAsia="Arial Narrow" w:hAnsi="Arial Narrow" w:cs="Arial Narrow"/>
      <w:b/>
      <w:bCs/>
      <w:kern w:val="0"/>
      <w:sz w:val="32"/>
      <w:szCs w:val="32"/>
    </w:rPr>
  </w:style>
  <w:style w:type="paragraph" w:styleId="Corpotesto">
    <w:name w:val="Body Text"/>
    <w:basedOn w:val="Normale"/>
    <w:link w:val="CorpotestoCarattere"/>
    <w:uiPriority w:val="1"/>
    <w:qFormat/>
    <w:rsid w:val="00716878"/>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716878"/>
    <w:rPr>
      <w:rFonts w:ascii="Times New Roman" w:eastAsia="Times New Roman" w:hAnsi="Times New Roman" w:cs="Times New Roman"/>
      <w:kern w:val="0"/>
      <w:sz w:val="24"/>
      <w:szCs w:val="24"/>
      <w14:ligatures w14:val="none"/>
    </w:rPr>
  </w:style>
  <w:style w:type="table" w:styleId="Grigliatabella">
    <w:name w:val="Table Grid"/>
    <w:basedOn w:val="Tabellanormale"/>
    <w:uiPriority w:val="39"/>
    <w:rsid w:val="004D5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al">
    <w:name w:val="headercal"/>
    <w:rsid w:val="00E30B72"/>
    <w:rPr>
      <w:rFonts w:ascii="Arial" w:eastAsia="Arial" w:hAnsi="Arial" w:cs="Arial"/>
      <w:b w:val="0"/>
      <w:bCs w:val="0"/>
      <w:sz w:val="36"/>
      <w:szCs w:val="36"/>
    </w:rPr>
  </w:style>
  <w:style w:type="paragraph" w:customStyle="1" w:styleId="headercal1">
    <w:name w:val="headercal1"/>
    <w:basedOn w:val="Normale"/>
    <w:rsid w:val="00E30B72"/>
    <w:pPr>
      <w:spacing w:after="100"/>
      <w:jc w:val="center"/>
    </w:pPr>
    <w:rPr>
      <w:rFonts w:ascii="Arial" w:eastAsia="Arial" w:hAnsi="Arial" w:cs="Arial"/>
      <w:kern w:val="0"/>
      <w:sz w:val="20"/>
      <w:szCs w:val="20"/>
      <w:lang w:eastAsia="it-IT"/>
      <w14:ligatures w14:val="none"/>
    </w:rPr>
  </w:style>
  <w:style w:type="character" w:customStyle="1" w:styleId="headersecond">
    <w:name w:val="headersecond"/>
    <w:rsid w:val="00E30B72"/>
    <w:rPr>
      <w:rFonts w:ascii="Arial" w:eastAsia="Arial" w:hAnsi="Arial" w:cs="Arial"/>
      <w:b w:val="0"/>
      <w:bCs w:val="0"/>
      <w:sz w:val="22"/>
      <w:szCs w:val="22"/>
    </w:rPr>
  </w:style>
  <w:style w:type="character" w:customStyle="1" w:styleId="infohead">
    <w:name w:val="infohead"/>
    <w:rsid w:val="00E30B72"/>
    <w:rPr>
      <w:rFonts w:ascii="Arial" w:eastAsia="Arial" w:hAnsi="Arial" w:cs="Arial"/>
      <w:b w:val="0"/>
      <w:bCs w:val="0"/>
      <w:sz w:val="18"/>
      <w:szCs w:val="18"/>
    </w:rPr>
  </w:style>
  <w:style w:type="paragraph" w:customStyle="1" w:styleId="pStyle">
    <w:name w:val="pStyle"/>
    <w:basedOn w:val="Normale"/>
    <w:rsid w:val="00E30B72"/>
    <w:pPr>
      <w:spacing w:after="100"/>
      <w:jc w:val="center"/>
    </w:pPr>
    <w:rPr>
      <w:rFonts w:ascii="Arial" w:eastAsia="Arial" w:hAnsi="Arial" w:cs="Arial"/>
      <w:kern w:val="0"/>
      <w:sz w:val="20"/>
      <w:szCs w:val="20"/>
      <w:lang w:eastAsia="it-IT"/>
      <w14:ligatures w14:val="none"/>
    </w:rPr>
  </w:style>
  <w:style w:type="table" w:customStyle="1" w:styleId="Tabelle">
    <w:name w:val="Tabelle"/>
    <w:uiPriority w:val="99"/>
    <w:rsid w:val="00E30B72"/>
    <w:rPr>
      <w:rFonts w:ascii="Arial" w:eastAsia="Arial" w:hAnsi="Arial" w:cs="Arial"/>
      <w:kern w:val="0"/>
      <w:sz w:val="20"/>
      <w:szCs w:val="20"/>
      <w:lang w:eastAsia="it-IT"/>
      <w14:ligatures w14:val="none"/>
    </w:rPr>
    <w:tblPr>
      <w:jc w:val="center"/>
      <w:tblBorders>
        <w:top w:val="single" w:sz="1" w:space="0" w:color="4BACC6"/>
        <w:left w:val="single" w:sz="1" w:space="0" w:color="4BACC6"/>
        <w:bottom w:val="single" w:sz="1" w:space="0" w:color="4BACC6"/>
        <w:right w:val="single" w:sz="1" w:space="0" w:color="4BACC6"/>
        <w:insideH w:val="single" w:sz="1" w:space="0" w:color="4BACC6"/>
        <w:insideV w:val="single" w:sz="1" w:space="0" w:color="4BACC6"/>
      </w:tblBorders>
      <w:tblCellMar>
        <w:top w:w="19" w:type="dxa"/>
        <w:left w:w="19" w:type="dxa"/>
        <w:bottom w:w="19" w:type="dxa"/>
        <w:right w:w="19" w:type="dxa"/>
      </w:tblCellMar>
    </w:tblPr>
    <w:trPr>
      <w:jc w:val="center"/>
    </w:trPr>
    <w:tblStylePr w:type="firstRow">
      <w:tblPr/>
      <w:tcPr>
        <w:shd w:val="clear" w:color="auto" w:fill="83CBDE"/>
      </w:tcPr>
    </w:tblStylePr>
  </w:style>
  <w:style w:type="paragraph" w:styleId="Pidipagina">
    <w:name w:val="footer"/>
    <w:basedOn w:val="Normale"/>
    <w:link w:val="PidipaginaCarattere"/>
    <w:uiPriority w:val="99"/>
    <w:unhideWhenUsed/>
    <w:rsid w:val="00E30B72"/>
    <w:pPr>
      <w:tabs>
        <w:tab w:val="center" w:pos="4819"/>
        <w:tab w:val="right" w:pos="9638"/>
      </w:tabs>
      <w:spacing w:after="0" w:line="240" w:lineRule="auto"/>
    </w:pPr>
    <w:rPr>
      <w:rFonts w:ascii="Arial" w:eastAsia="Arial" w:hAnsi="Arial" w:cs="Arial"/>
      <w:kern w:val="0"/>
      <w:sz w:val="20"/>
      <w:szCs w:val="20"/>
      <w:lang w:eastAsia="it-IT"/>
      <w14:ligatures w14:val="none"/>
    </w:rPr>
  </w:style>
  <w:style w:type="character" w:customStyle="1" w:styleId="PidipaginaCarattere">
    <w:name w:val="Piè di pagina Carattere"/>
    <w:basedOn w:val="Carpredefinitoparagrafo"/>
    <w:link w:val="Pidipagina"/>
    <w:uiPriority w:val="99"/>
    <w:rsid w:val="00E30B72"/>
    <w:rPr>
      <w:rFonts w:ascii="Arial" w:eastAsia="Arial" w:hAnsi="Arial" w:cs="Arial"/>
      <w:kern w:val="0"/>
      <w:sz w:val="20"/>
      <w:szCs w:val="20"/>
      <w:lang w:eastAsia="it-IT"/>
      <w14:ligatures w14:val="none"/>
    </w:rPr>
  </w:style>
  <w:style w:type="paragraph" w:styleId="Intestazione">
    <w:name w:val="header"/>
    <w:basedOn w:val="Normale"/>
    <w:link w:val="IntestazioneCarattere"/>
    <w:uiPriority w:val="99"/>
    <w:unhideWhenUsed/>
    <w:rsid w:val="00E30B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0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15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chart" Target="charts/chart8.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fontTable" Target="fontTable.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showLeaderLines val="0"/>
              </c:ext>
            </c:extLst>
          </c:dLbls>
          <c:cat>
            <c:strLit>
              <c:ptCount val="4"/>
              <c:pt idx="0">
                <c:v>Area finanziaria e economica</c:v>
              </c:pt>
              <c:pt idx="1">
                <c:v>Area clienti</c:v>
              </c:pt>
              <c:pt idx="2">
                <c:v>Area processi</c:v>
              </c:pt>
              <c:pt idx="3">
                <c:v>Area formazione e innovazione</c:v>
              </c:pt>
            </c:strLit>
          </c:cat>
          <c:val>
            <c:numLit>
              <c:formatCode>General</c:formatCode>
              <c:ptCount val="4"/>
              <c:pt idx="0">
                <c:v>50.734713868263</c:v>
              </c:pt>
              <c:pt idx="1">
                <c:v>63.5</c:v>
              </c:pt>
              <c:pt idx="2">
                <c:v>53.928267558527999</c:v>
              </c:pt>
              <c:pt idx="3">
                <c:v>62.608695652173999</c:v>
              </c:pt>
            </c:numLit>
          </c:val>
          <c:extLst>
            <c:ext xmlns:c16="http://schemas.microsoft.com/office/drawing/2014/chart" uri="{C3380CC4-5D6E-409C-BE32-E72D297353CC}">
              <c16:uniqueId val="{00000000-7591-4B36-83F1-F17EF5B25A26}"/>
            </c:ext>
          </c:extLst>
        </c:ser>
        <c:dLbls>
          <c:showLegendKey val="0"/>
          <c:showVal val="0"/>
          <c:showCatName val="0"/>
          <c:showSerName val="0"/>
          <c:showPercent val="0"/>
          <c:showBubbleSize val="0"/>
        </c:dLbls>
        <c:axId val="1"/>
        <c:axId val="2"/>
      </c:radarChart>
      <c:catAx>
        <c:axId val="1"/>
        <c:scaling>
          <c:orientation val="minMax"/>
        </c:scaling>
        <c:delete val="0"/>
        <c:axPos val="b"/>
        <c:majorGridlines/>
        <c:numFmt formatCode="General" sourceLinked="0"/>
        <c:majorTickMark val="none"/>
        <c:minorTickMark val="none"/>
        <c:tickLblPos val="nextTo"/>
        <c:spPr>
          <a:ln>
            <a:solidFill/>
          </a:ln>
        </c:spPr>
        <c:crossAx val="2"/>
        <c:crosses val="autoZero"/>
        <c:auto val="1"/>
        <c:lblAlgn val="ctr"/>
        <c:lblOffset val="100"/>
        <c:noMultiLvlLbl val="1"/>
      </c:catAx>
      <c:valAx>
        <c:axId val="2"/>
        <c:scaling>
          <c:orientation val="minMax"/>
        </c:scaling>
        <c:delete val="0"/>
        <c:axPos val="l"/>
        <c:majorGridlines/>
        <c:numFmt formatCode="General" sourceLinked="1"/>
        <c:majorTickMark val="none"/>
        <c:minorTickMark val="none"/>
        <c:tickLblPos val="nextTo"/>
        <c:spPr>
          <a:ln>
            <a:solidFill/>
          </a:ln>
        </c:spPr>
        <c:crossAx val="1"/>
        <c:crosses val="autoZero"/>
        <c:crossBetween val="between"/>
      </c:valAx>
    </c:plotArea>
    <c:plotVisOnly val="1"/>
    <c:dispBlanksAs val="zero"/>
    <c:showDLblsOverMax val="1"/>
  </c:chart>
  <c:spPr>
    <a:ln>
      <a:noFill/>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rgbClr val="FFA500"/>
              </a:solidFill>
            </c:spPr>
            <c:extLst>
              <c:ext xmlns:c16="http://schemas.microsoft.com/office/drawing/2014/chart" uri="{C3380CC4-5D6E-409C-BE32-E72D297353CC}">
                <c16:uniqueId val="{00000001-E289-436D-AC6F-9C34042A3C30}"/>
              </c:ext>
            </c:extLst>
          </c:dPt>
          <c:dPt>
            <c:idx val="1"/>
            <c:bubble3D val="0"/>
            <c:spPr>
              <a:solidFill>
                <a:srgbClr val="FFFFFF"/>
              </a:solidFill>
            </c:spPr>
            <c:extLst>
              <c:ext xmlns:c16="http://schemas.microsoft.com/office/drawing/2014/chart" uri="{C3380CC4-5D6E-409C-BE32-E72D297353CC}">
                <c16:uniqueId val="{00000003-E289-436D-AC6F-9C34042A3C30}"/>
              </c:ext>
            </c:extLst>
          </c:dPt>
          <c:cat>
            <c:strLit>
              <c:ptCount val="2"/>
              <c:pt idx="0">
                <c:v> </c:v>
              </c:pt>
              <c:pt idx="1">
                <c:v> </c:v>
              </c:pt>
            </c:strLit>
          </c:cat>
          <c:val>
            <c:numLit>
              <c:formatCode>General</c:formatCode>
              <c:ptCount val="2"/>
              <c:pt idx="0">
                <c:v>50.734713868263</c:v>
              </c:pt>
              <c:pt idx="1">
                <c:v>49.265286131737</c:v>
              </c:pt>
            </c:numLit>
          </c:val>
          <c:extLst>
            <c:ext xmlns:c16="http://schemas.microsoft.com/office/drawing/2014/chart" uri="{C3380CC4-5D6E-409C-BE32-E72D297353CC}">
              <c16:uniqueId val="{00000004-E289-436D-AC6F-9C34042A3C30}"/>
            </c:ext>
          </c:extLst>
        </c:ser>
        <c:dLbls>
          <c:showLegendKey val="0"/>
          <c:showVal val="0"/>
          <c:showCatName val="0"/>
          <c:showSerName val="0"/>
          <c:showPercent val="0"/>
          <c:showBubbleSize val="0"/>
          <c:showLeaderLines val="0"/>
        </c:dLbls>
        <c:firstSliceAng val="0"/>
        <c:holeSize val="75"/>
      </c:doughnutChart>
    </c:plotArea>
    <c:plotVisOnly val="1"/>
    <c:dispBlanksAs val="zero"/>
    <c:showDLblsOverMax val="1"/>
  </c:chart>
  <c:spPr>
    <a:ln>
      <a:noFill/>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 </c:v>
          </c:tx>
          <c:invertIfNegative val="1"/>
          <c:dPt>
            <c:idx val="0"/>
            <c:invertIfNegative val="1"/>
            <c:bubble3D val="0"/>
            <c:spPr>
              <a:solidFill>
                <a:srgbClr val="3366CC"/>
              </a:solidFill>
            </c:spPr>
            <c:extLst>
              <c:ext xmlns:c16="http://schemas.microsoft.com/office/drawing/2014/chart" uri="{C3380CC4-5D6E-409C-BE32-E72D297353CC}">
                <c16:uniqueId val="{00000001-F8DE-4B78-B4A9-67BEE4E1A438}"/>
              </c:ext>
            </c:extLst>
          </c:dPt>
          <c:dPt>
            <c:idx val="1"/>
            <c:invertIfNegative val="1"/>
            <c:bubble3D val="0"/>
            <c:spPr>
              <a:solidFill>
                <a:srgbClr val="3366CC"/>
              </a:solidFill>
            </c:spPr>
            <c:extLst>
              <c:ext xmlns:c16="http://schemas.microsoft.com/office/drawing/2014/chart" uri="{C3380CC4-5D6E-409C-BE32-E72D297353CC}">
                <c16:uniqueId val="{00000003-F8DE-4B78-B4A9-67BEE4E1A438}"/>
              </c:ext>
            </c:extLst>
          </c:dPt>
          <c:cat>
            <mc:AlternateContent xmlns:mc="http://schemas.openxmlformats.org/markup-compatibility/2006">
              <mc:Choice xmlns:c16ac="http://schemas.microsoft.com/office/drawing/2014/chart/ac" Requires="c16ac">
                <c16ac:multiLvlStrLit>
                  <c:ptCount val="0"/>
                </c16ac:multiLvlStrLit>
              </mc:Choice>
              <mc:Fallback>
                <c:strLit/>
              </mc:Fallback>
            </mc:AlternateContent>
          </c:cat>
          <c:val>
            <c:numLit>
              <c:formatCode>General</c:formatCode>
              <c:ptCount val="2"/>
              <c:pt idx="0">
                <c:v>0</c:v>
              </c:pt>
              <c:pt idx="1">
                <c:v>0</c:v>
              </c:pt>
            </c:numLit>
          </c:val>
          <c:extLst>
            <c:ext xmlns:c16="http://schemas.microsoft.com/office/drawing/2014/chart" uri="{C3380CC4-5D6E-409C-BE32-E72D297353CC}">
              <c16:uniqueId val="{00000004-F8DE-4B78-B4A9-67BEE4E1A438}"/>
            </c:ext>
          </c:extLst>
        </c:ser>
        <c:ser>
          <c:idx val="1"/>
          <c:order val="1"/>
          <c:tx>
            <c:v> </c:v>
          </c:tx>
          <c:invertIfNegative val="1"/>
          <c:dPt>
            <c:idx val="0"/>
            <c:invertIfNegative val="1"/>
            <c:bubble3D val="0"/>
            <c:spPr>
              <a:solidFill>
                <a:srgbClr val="0E870E"/>
              </a:solidFill>
            </c:spPr>
            <c:extLst>
              <c:ext xmlns:c16="http://schemas.microsoft.com/office/drawing/2014/chart" uri="{C3380CC4-5D6E-409C-BE32-E72D297353CC}">
                <c16:uniqueId val="{00000006-F8DE-4B78-B4A9-67BEE4E1A438}"/>
              </c:ext>
            </c:extLst>
          </c:dPt>
          <c:dPt>
            <c:idx val="1"/>
            <c:invertIfNegative val="1"/>
            <c:bubble3D val="0"/>
            <c:spPr>
              <a:solidFill>
                <a:srgbClr val="FF0000"/>
              </a:solidFill>
            </c:spPr>
            <c:extLst>
              <c:ext xmlns:c16="http://schemas.microsoft.com/office/drawing/2014/chart" uri="{C3380CC4-5D6E-409C-BE32-E72D297353CC}">
                <c16:uniqueId val="{00000008-F8DE-4B78-B4A9-67BEE4E1A438}"/>
              </c:ext>
            </c:extLst>
          </c:dPt>
          <c:cat>
            <c:strLit>
              <c:ptCount val="2"/>
              <c:pt idx="0">
                <c:v>Immobilizzazioni</c:v>
              </c:pt>
              <c:pt idx="1">
                <c:v>Fonti a lungo</c:v>
              </c:pt>
            </c:strLit>
          </c:cat>
          <c:val>
            <c:numLit>
              <c:formatCode>General</c:formatCode>
              <c:ptCount val="2"/>
              <c:pt idx="0">
                <c:v>0</c:v>
              </c:pt>
              <c:pt idx="1">
                <c:v>0</c:v>
              </c:pt>
            </c:numLit>
          </c:val>
          <c:extLst>
            <c:ext xmlns:c16="http://schemas.microsoft.com/office/drawing/2014/chart" uri="{C3380CC4-5D6E-409C-BE32-E72D297353CC}">
              <c16:uniqueId val="{00000009-F8DE-4B78-B4A9-67BEE4E1A438}"/>
            </c:ext>
          </c:extLst>
        </c:ser>
        <c:ser>
          <c:idx val="2"/>
          <c:order val="2"/>
          <c:tx>
            <c:v>Immobilizzazioni:109.600,00€ , Fonti a lungo:971.000,00€</c:v>
          </c:tx>
          <c:invertIfNegative val="1"/>
          <c:dPt>
            <c:idx val="0"/>
            <c:invertIfNegative val="1"/>
            <c:bubble3D val="0"/>
            <c:spPr>
              <a:solidFill>
                <a:srgbClr val="3366CC"/>
              </a:solidFill>
            </c:spPr>
            <c:extLst>
              <c:ext xmlns:c16="http://schemas.microsoft.com/office/drawing/2014/chart" uri="{C3380CC4-5D6E-409C-BE32-E72D297353CC}">
                <c16:uniqueId val="{0000000B-F8DE-4B78-B4A9-67BEE4E1A438}"/>
              </c:ext>
            </c:extLst>
          </c:dPt>
          <c:dPt>
            <c:idx val="1"/>
            <c:invertIfNegative val="1"/>
            <c:bubble3D val="0"/>
            <c:spPr>
              <a:solidFill>
                <a:srgbClr val="3366CC"/>
              </a:solidFill>
            </c:spPr>
            <c:extLst>
              <c:ext xmlns:c16="http://schemas.microsoft.com/office/drawing/2014/chart" uri="{C3380CC4-5D6E-409C-BE32-E72D297353CC}">
                <c16:uniqueId val="{0000000D-F8DE-4B78-B4A9-67BEE4E1A438}"/>
              </c:ext>
            </c:extLst>
          </c:dPt>
          <c:cat>
            <c:strLit>
              <c:ptCount val="2"/>
              <c:pt idx="0">
                <c:v>Immobilizzazioni</c:v>
              </c:pt>
              <c:pt idx="1">
                <c:v>Fonti a lungo</c:v>
              </c:pt>
            </c:strLit>
          </c:cat>
          <c:val>
            <c:numLit>
              <c:formatCode>General</c:formatCode>
              <c:ptCount val="2"/>
              <c:pt idx="0">
                <c:v>109600</c:v>
              </c:pt>
              <c:pt idx="1">
                <c:v>971000</c:v>
              </c:pt>
            </c:numLit>
          </c:val>
          <c:extLst>
            <c:ext xmlns:c16="http://schemas.microsoft.com/office/drawing/2014/chart" uri="{C3380CC4-5D6E-409C-BE32-E72D297353CC}">
              <c16:uniqueId val="{0000000E-F8DE-4B78-B4A9-67BEE4E1A438}"/>
            </c:ext>
          </c:extLst>
        </c:ser>
        <c:ser>
          <c:idx val="3"/>
          <c:order val="3"/>
          <c:tx>
            <c:v>Capitale Circolante </c:v>
          </c:tx>
          <c:invertIfNegative val="1"/>
          <c:dPt>
            <c:idx val="0"/>
            <c:invertIfNegative val="1"/>
            <c:bubble3D val="0"/>
            <c:spPr>
              <a:solidFill>
                <a:srgbClr val="0E870E"/>
              </a:solidFill>
            </c:spPr>
            <c:extLst>
              <c:ext xmlns:c16="http://schemas.microsoft.com/office/drawing/2014/chart" uri="{C3380CC4-5D6E-409C-BE32-E72D297353CC}">
                <c16:uniqueId val="{00000010-F8DE-4B78-B4A9-67BEE4E1A438}"/>
              </c:ext>
            </c:extLst>
          </c:dPt>
          <c:dPt>
            <c:idx val="1"/>
            <c:invertIfNegative val="1"/>
            <c:bubble3D val="0"/>
            <c:spPr>
              <a:solidFill>
                <a:srgbClr val="FF0000"/>
              </a:solidFill>
            </c:spPr>
            <c:extLst>
              <c:ext xmlns:c16="http://schemas.microsoft.com/office/drawing/2014/chart" uri="{C3380CC4-5D6E-409C-BE32-E72D297353CC}">
                <c16:uniqueId val="{00000012-F8DE-4B78-B4A9-67BEE4E1A438}"/>
              </c:ext>
            </c:extLst>
          </c:dPt>
          <c:cat>
            <c:strLit>
              <c:ptCount val="2"/>
              <c:pt idx="0">
                <c:v>Immobilizzazioni</c:v>
              </c:pt>
              <c:pt idx="1">
                <c:v>Fonti a lungo</c:v>
              </c:pt>
            </c:strLit>
          </c:cat>
          <c:val>
            <c:numLit>
              <c:formatCode>General</c:formatCode>
              <c:ptCount val="2"/>
              <c:pt idx="0">
                <c:v>861400</c:v>
              </c:pt>
              <c:pt idx="1">
                <c:v>0</c:v>
              </c:pt>
            </c:numLit>
          </c:val>
          <c:extLst>
            <c:ext xmlns:c16="http://schemas.microsoft.com/office/drawing/2014/chart" uri="{C3380CC4-5D6E-409C-BE32-E72D297353CC}">
              <c16:uniqueId val="{00000013-F8DE-4B78-B4A9-67BEE4E1A438}"/>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majorGridlines/>
        <c:majorTickMark val="none"/>
        <c:minorTickMark val="none"/>
        <c:tickLblPos val="nextTo"/>
        <c:spPr>
          <a:ln>
            <a:solidFill/>
          </a:ln>
        </c:spPr>
        <c:crossAx val="2"/>
        <c:crosses val="autoZero"/>
        <c:auto val="1"/>
        <c:lblAlgn val="ctr"/>
        <c:lblOffset val="100"/>
        <c:noMultiLvlLbl val="1"/>
      </c:catAx>
      <c:valAx>
        <c:axId val="2"/>
        <c:scaling>
          <c:orientation val="minMax"/>
        </c:scaling>
        <c:delete val="0"/>
        <c:axPos val="l"/>
        <c:majorGridlines/>
        <c:numFmt formatCode="General" sourceLinked="1"/>
        <c:majorTickMark val="none"/>
        <c:minorTickMark val="none"/>
        <c:tickLblPos val="nextTo"/>
        <c:spPr>
          <a:ln>
            <a:solidFill/>
          </a:ln>
        </c:spPr>
        <c:crossAx val="1"/>
        <c:crosses val="autoZero"/>
        <c:crossBetween val="between"/>
      </c:valAx>
    </c:plotArea>
    <c:plotVisOnly val="1"/>
    <c:dispBlanksAs val="zero"/>
    <c:showDLblsOverMax val="1"/>
  </c:chart>
  <c:spPr>
    <a:ln>
      <a:noFill/>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rgbClr val="008000"/>
              </a:solidFill>
            </c:spPr>
            <c:extLst>
              <c:ext xmlns:c16="http://schemas.microsoft.com/office/drawing/2014/chart" uri="{C3380CC4-5D6E-409C-BE32-E72D297353CC}">
                <c16:uniqueId val="{00000001-C848-4CAE-A6D1-60CA4341D331}"/>
              </c:ext>
            </c:extLst>
          </c:dPt>
          <c:dPt>
            <c:idx val="1"/>
            <c:bubble3D val="0"/>
            <c:spPr>
              <a:solidFill>
                <a:srgbClr val="FFFFFF"/>
              </a:solidFill>
            </c:spPr>
            <c:extLst>
              <c:ext xmlns:c16="http://schemas.microsoft.com/office/drawing/2014/chart" uri="{C3380CC4-5D6E-409C-BE32-E72D297353CC}">
                <c16:uniqueId val="{00000003-C848-4CAE-A6D1-60CA4341D331}"/>
              </c:ext>
            </c:extLst>
          </c:dPt>
          <c:cat>
            <c:strLit>
              <c:ptCount val="2"/>
              <c:pt idx="0">
                <c:v> </c:v>
              </c:pt>
              <c:pt idx="1">
                <c:v> </c:v>
              </c:pt>
            </c:strLit>
          </c:cat>
          <c:val>
            <c:numLit>
              <c:formatCode>General</c:formatCode>
              <c:ptCount val="2"/>
              <c:pt idx="0">
                <c:v>100</c:v>
              </c:pt>
              <c:pt idx="1">
                <c:v>0</c:v>
              </c:pt>
            </c:numLit>
          </c:val>
          <c:extLst>
            <c:ext xmlns:c16="http://schemas.microsoft.com/office/drawing/2014/chart" uri="{C3380CC4-5D6E-409C-BE32-E72D297353CC}">
              <c16:uniqueId val="{00000004-C848-4CAE-A6D1-60CA4341D331}"/>
            </c:ext>
          </c:extLst>
        </c:ser>
        <c:dLbls>
          <c:showLegendKey val="0"/>
          <c:showVal val="0"/>
          <c:showCatName val="0"/>
          <c:showSerName val="0"/>
          <c:showPercent val="0"/>
          <c:showBubbleSize val="0"/>
          <c:showLeaderLines val="0"/>
        </c:dLbls>
        <c:firstSliceAng val="0"/>
        <c:holeSize val="75"/>
      </c:doughnutChart>
    </c:plotArea>
    <c:plotVisOnly val="1"/>
    <c:dispBlanksAs val="zero"/>
    <c:showDLblsOverMax val="1"/>
  </c:chart>
  <c:spPr>
    <a:ln>
      <a:noFill/>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rgbClr val="FFA500"/>
              </a:solidFill>
            </c:spPr>
            <c:extLst>
              <c:ext xmlns:c16="http://schemas.microsoft.com/office/drawing/2014/chart" uri="{C3380CC4-5D6E-409C-BE32-E72D297353CC}">
                <c16:uniqueId val="{00000001-3945-49B9-8969-9F52E2094446}"/>
              </c:ext>
            </c:extLst>
          </c:dPt>
          <c:dPt>
            <c:idx val="1"/>
            <c:bubble3D val="0"/>
            <c:spPr>
              <a:solidFill>
                <a:srgbClr val="FFFFFF"/>
              </a:solidFill>
            </c:spPr>
            <c:extLst>
              <c:ext xmlns:c16="http://schemas.microsoft.com/office/drawing/2014/chart" uri="{C3380CC4-5D6E-409C-BE32-E72D297353CC}">
                <c16:uniqueId val="{00000003-3945-49B9-8969-9F52E2094446}"/>
              </c:ext>
            </c:extLst>
          </c:dPt>
          <c:cat>
            <c:strLit>
              <c:ptCount val="2"/>
              <c:pt idx="0">
                <c:v> </c:v>
              </c:pt>
              <c:pt idx="1">
                <c:v> </c:v>
              </c:pt>
            </c:strLit>
          </c:cat>
          <c:val>
            <c:numLit>
              <c:formatCode>General</c:formatCode>
              <c:ptCount val="2"/>
              <c:pt idx="0">
                <c:v>38.335329341316999</c:v>
              </c:pt>
              <c:pt idx="1">
                <c:v>61.664670658683001</c:v>
              </c:pt>
            </c:numLit>
          </c:val>
          <c:extLst>
            <c:ext xmlns:c16="http://schemas.microsoft.com/office/drawing/2014/chart" uri="{C3380CC4-5D6E-409C-BE32-E72D297353CC}">
              <c16:uniqueId val="{00000004-3945-49B9-8969-9F52E2094446}"/>
            </c:ext>
          </c:extLst>
        </c:ser>
        <c:dLbls>
          <c:showLegendKey val="0"/>
          <c:showVal val="0"/>
          <c:showCatName val="0"/>
          <c:showSerName val="0"/>
          <c:showPercent val="0"/>
          <c:showBubbleSize val="0"/>
          <c:showLeaderLines val="0"/>
        </c:dLbls>
        <c:firstSliceAng val="0"/>
        <c:holeSize val="75"/>
      </c:doughnutChart>
    </c:plotArea>
    <c:plotVisOnly val="1"/>
    <c:dispBlanksAs val="zero"/>
    <c:showDLblsOverMax val="1"/>
  </c:chart>
  <c:spPr>
    <a:ln>
      <a:noFill/>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rgbClr val="FFA500"/>
              </a:solidFill>
            </c:spPr>
            <c:extLst>
              <c:ext xmlns:c16="http://schemas.microsoft.com/office/drawing/2014/chart" uri="{C3380CC4-5D6E-409C-BE32-E72D297353CC}">
                <c16:uniqueId val="{00000001-26FF-481A-B8BF-3FF303B2C9C1}"/>
              </c:ext>
            </c:extLst>
          </c:dPt>
          <c:dPt>
            <c:idx val="1"/>
            <c:bubble3D val="0"/>
            <c:spPr>
              <a:solidFill>
                <a:srgbClr val="FFFFFF"/>
              </a:solidFill>
            </c:spPr>
            <c:extLst>
              <c:ext xmlns:c16="http://schemas.microsoft.com/office/drawing/2014/chart" uri="{C3380CC4-5D6E-409C-BE32-E72D297353CC}">
                <c16:uniqueId val="{00000003-26FF-481A-B8BF-3FF303B2C9C1}"/>
              </c:ext>
            </c:extLst>
          </c:dPt>
          <c:cat>
            <c:strLit>
              <c:ptCount val="2"/>
              <c:pt idx="0">
                <c:v> </c:v>
              </c:pt>
              <c:pt idx="1">
                <c:v> </c:v>
              </c:pt>
            </c:strLit>
          </c:cat>
          <c:val>
            <c:numLit>
              <c:formatCode>General</c:formatCode>
              <c:ptCount val="2"/>
              <c:pt idx="0">
                <c:v>63.5</c:v>
              </c:pt>
              <c:pt idx="1">
                <c:v>36.5</c:v>
              </c:pt>
            </c:numLit>
          </c:val>
          <c:extLst>
            <c:ext xmlns:c16="http://schemas.microsoft.com/office/drawing/2014/chart" uri="{C3380CC4-5D6E-409C-BE32-E72D297353CC}">
              <c16:uniqueId val="{00000004-26FF-481A-B8BF-3FF303B2C9C1}"/>
            </c:ext>
          </c:extLst>
        </c:ser>
        <c:dLbls>
          <c:showLegendKey val="0"/>
          <c:showVal val="0"/>
          <c:showCatName val="0"/>
          <c:showSerName val="0"/>
          <c:showPercent val="0"/>
          <c:showBubbleSize val="0"/>
          <c:showLeaderLines val="0"/>
        </c:dLbls>
        <c:firstSliceAng val="0"/>
        <c:holeSize val="75"/>
      </c:doughnutChart>
    </c:plotArea>
    <c:plotVisOnly val="1"/>
    <c:dispBlanksAs val="zero"/>
    <c:showDLblsOverMax val="1"/>
  </c:chart>
  <c:spPr>
    <a:ln>
      <a:noFill/>
    </a:ln>
  </c:sp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rgbClr val="FFA500"/>
              </a:solidFill>
            </c:spPr>
            <c:extLst>
              <c:ext xmlns:c16="http://schemas.microsoft.com/office/drawing/2014/chart" uri="{C3380CC4-5D6E-409C-BE32-E72D297353CC}">
                <c16:uniqueId val="{00000001-CB41-4E68-BB16-81D122FD9171}"/>
              </c:ext>
            </c:extLst>
          </c:dPt>
          <c:dPt>
            <c:idx val="1"/>
            <c:bubble3D val="0"/>
            <c:spPr>
              <a:solidFill>
                <a:srgbClr val="FFFFFF"/>
              </a:solidFill>
            </c:spPr>
            <c:extLst>
              <c:ext xmlns:c16="http://schemas.microsoft.com/office/drawing/2014/chart" uri="{C3380CC4-5D6E-409C-BE32-E72D297353CC}">
                <c16:uniqueId val="{00000003-CB41-4E68-BB16-81D122FD9171}"/>
              </c:ext>
            </c:extLst>
          </c:dPt>
          <c:cat>
            <c:strLit>
              <c:ptCount val="2"/>
              <c:pt idx="0">
                <c:v> </c:v>
              </c:pt>
              <c:pt idx="1">
                <c:v> </c:v>
              </c:pt>
            </c:strLit>
          </c:cat>
          <c:val>
            <c:numLit>
              <c:formatCode>General</c:formatCode>
              <c:ptCount val="2"/>
              <c:pt idx="0">
                <c:v>53.928267558527999</c:v>
              </c:pt>
              <c:pt idx="1">
                <c:v>46.071732441472001</c:v>
              </c:pt>
            </c:numLit>
          </c:val>
          <c:extLst>
            <c:ext xmlns:c16="http://schemas.microsoft.com/office/drawing/2014/chart" uri="{C3380CC4-5D6E-409C-BE32-E72D297353CC}">
              <c16:uniqueId val="{00000004-CB41-4E68-BB16-81D122FD9171}"/>
            </c:ext>
          </c:extLst>
        </c:ser>
        <c:dLbls>
          <c:showLegendKey val="0"/>
          <c:showVal val="0"/>
          <c:showCatName val="0"/>
          <c:showSerName val="0"/>
          <c:showPercent val="0"/>
          <c:showBubbleSize val="0"/>
          <c:showLeaderLines val="0"/>
        </c:dLbls>
        <c:firstSliceAng val="0"/>
        <c:holeSize val="75"/>
      </c:doughnutChart>
    </c:plotArea>
    <c:plotVisOnly val="1"/>
    <c:dispBlanksAs val="zero"/>
    <c:showDLblsOverMax val="1"/>
  </c:chart>
  <c:spPr>
    <a:ln>
      <a:noFill/>
    </a:ln>
  </c:sp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rgbClr val="FFA500"/>
              </a:solidFill>
            </c:spPr>
            <c:extLst>
              <c:ext xmlns:c16="http://schemas.microsoft.com/office/drawing/2014/chart" uri="{C3380CC4-5D6E-409C-BE32-E72D297353CC}">
                <c16:uniqueId val="{00000001-BED7-4EB3-A57F-8072EA8FB0D6}"/>
              </c:ext>
            </c:extLst>
          </c:dPt>
          <c:dPt>
            <c:idx val="1"/>
            <c:bubble3D val="0"/>
            <c:spPr>
              <a:solidFill>
                <a:srgbClr val="FFFFFF"/>
              </a:solidFill>
            </c:spPr>
            <c:extLst>
              <c:ext xmlns:c16="http://schemas.microsoft.com/office/drawing/2014/chart" uri="{C3380CC4-5D6E-409C-BE32-E72D297353CC}">
                <c16:uniqueId val="{00000003-BED7-4EB3-A57F-8072EA8FB0D6}"/>
              </c:ext>
            </c:extLst>
          </c:dPt>
          <c:cat>
            <c:strLit>
              <c:ptCount val="2"/>
              <c:pt idx="0">
                <c:v>62.608695652174</c:v>
              </c:pt>
              <c:pt idx="1">
                <c:v>37.391304347826</c:v>
              </c:pt>
            </c:strLit>
          </c:cat>
          <c:val>
            <c:numLit>
              <c:formatCode>General</c:formatCode>
              <c:ptCount val="2"/>
              <c:pt idx="0">
                <c:v>62.608695652173999</c:v>
              </c:pt>
              <c:pt idx="1">
                <c:v>37.391304347826001</c:v>
              </c:pt>
            </c:numLit>
          </c:val>
          <c:extLst>
            <c:ext xmlns:c16="http://schemas.microsoft.com/office/drawing/2014/chart" uri="{C3380CC4-5D6E-409C-BE32-E72D297353CC}">
              <c16:uniqueId val="{00000004-BED7-4EB3-A57F-8072EA8FB0D6}"/>
            </c:ext>
          </c:extLst>
        </c:ser>
        <c:dLbls>
          <c:showLegendKey val="0"/>
          <c:showVal val="0"/>
          <c:showCatName val="0"/>
          <c:showSerName val="0"/>
          <c:showPercent val="0"/>
          <c:showBubbleSize val="0"/>
          <c:showLeaderLines val="0"/>
        </c:dLbls>
        <c:firstSliceAng val="0"/>
        <c:holeSize val="75"/>
      </c:doughnutChart>
    </c:plotArea>
    <c:plotVisOnly val="1"/>
    <c:dispBlanksAs val="zero"/>
    <c:showDLblsOverMax val="1"/>
  </c:chart>
  <c:spPr>
    <a:ln>
      <a:noFill/>
    </a:ln>
  </c:spPr>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2313</Words>
  <Characters>13189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Diaferia</dc:creator>
  <cp:keywords/>
  <dc:description/>
  <cp:lastModifiedBy>Roberto D</cp:lastModifiedBy>
  <cp:revision>8</cp:revision>
  <cp:lastPrinted>2023-12-05T14:05:00Z</cp:lastPrinted>
  <dcterms:created xsi:type="dcterms:W3CDTF">2024-01-09T10:52:00Z</dcterms:created>
  <dcterms:modified xsi:type="dcterms:W3CDTF">2024-01-09T11:22:00Z</dcterms:modified>
</cp:coreProperties>
</file>